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57E" w:rsidRDefault="00CE2728" w:rsidP="00CB1CF6">
      <w:pPr>
        <w:shd w:val="clear" w:color="auto" w:fill="FFFFFF"/>
        <w:spacing w:after="0" w:line="240" w:lineRule="auto"/>
        <w:jc w:val="center"/>
        <w:rPr>
          <w:b/>
          <w:noProof/>
          <w:lang w:val="ro-RO"/>
        </w:rPr>
      </w:pPr>
      <w:r>
        <w:rPr>
          <w:b/>
          <w:noProof/>
          <w:lang w:val="ro-RO"/>
        </w:rPr>
        <w:t xml:space="preserve">                                                                </w:t>
      </w:r>
      <w:r w:rsidR="008D657E">
        <w:rPr>
          <w:b/>
          <w:noProof/>
          <w:lang w:val="ro-RO"/>
        </w:rPr>
        <w:t xml:space="preserve">                                           </w:t>
      </w:r>
      <w:r w:rsidR="00624ED0">
        <w:rPr>
          <w:b/>
          <w:noProof/>
          <w:lang w:val="ro-RO"/>
        </w:rPr>
        <w:t xml:space="preserve">                           </w:t>
      </w:r>
      <w:r>
        <w:rPr>
          <w:b/>
          <w:noProof/>
          <w:lang w:val="ro-RO"/>
        </w:rPr>
        <w:t xml:space="preserve"> Anexa </w:t>
      </w:r>
      <w:r w:rsidR="00624ED0">
        <w:rPr>
          <w:b/>
          <w:noProof/>
          <w:lang w:val="ro-RO"/>
        </w:rPr>
        <w:t xml:space="preserve"> nr. </w:t>
      </w:r>
      <w:r>
        <w:rPr>
          <w:b/>
          <w:noProof/>
          <w:lang w:val="ro-RO"/>
        </w:rPr>
        <w:t xml:space="preserve">1 </w:t>
      </w:r>
    </w:p>
    <w:p w:rsidR="00CE2728" w:rsidRDefault="008D657E" w:rsidP="00CB1CF6">
      <w:pPr>
        <w:shd w:val="clear" w:color="auto" w:fill="FFFFFF"/>
        <w:spacing w:after="0" w:line="240" w:lineRule="auto"/>
        <w:jc w:val="center"/>
        <w:rPr>
          <w:b/>
          <w:noProof/>
          <w:lang w:val="ro-RO"/>
        </w:rPr>
      </w:pPr>
      <w:r>
        <w:rPr>
          <w:b/>
          <w:noProof/>
          <w:lang w:val="ro-RO"/>
        </w:rPr>
        <w:t xml:space="preserve">                                                 </w:t>
      </w:r>
      <w:r w:rsidR="00EE2762">
        <w:rPr>
          <w:b/>
          <w:noProof/>
          <w:lang w:val="ro-RO"/>
        </w:rPr>
        <w:t xml:space="preserve">                         </w:t>
      </w:r>
      <w:r>
        <w:rPr>
          <w:b/>
          <w:noProof/>
          <w:lang w:val="ro-RO"/>
        </w:rPr>
        <w:t xml:space="preserve"> </w:t>
      </w:r>
      <w:r w:rsidR="00CE2728">
        <w:rPr>
          <w:b/>
          <w:noProof/>
          <w:lang w:val="ro-RO"/>
        </w:rPr>
        <w:t>la Ordinul ministrului fondurilor europene</w:t>
      </w:r>
      <w:r w:rsidR="00EE2762">
        <w:rPr>
          <w:b/>
          <w:noProof/>
          <w:lang w:val="ro-RO"/>
        </w:rPr>
        <w:t xml:space="preserve"> nr.</w:t>
      </w:r>
      <w:r w:rsidR="000D30E7">
        <w:rPr>
          <w:b/>
          <w:noProof/>
          <w:lang w:val="ro-RO"/>
        </w:rPr>
        <w:t xml:space="preserve"> </w:t>
      </w:r>
      <w:bookmarkStart w:id="0" w:name="_GoBack"/>
      <w:bookmarkEnd w:id="0"/>
      <w:r w:rsidR="000D30E7">
        <w:rPr>
          <w:b/>
          <w:noProof/>
          <w:lang w:val="ro-RO"/>
        </w:rPr>
        <w:t xml:space="preserve">                                                 </w:t>
      </w:r>
    </w:p>
    <w:p w:rsidR="006B4E75" w:rsidRDefault="006B4E75" w:rsidP="006B4E75">
      <w:pPr>
        <w:pStyle w:val="Heading4"/>
        <w:jc w:val="both"/>
        <w:rPr>
          <w:noProof/>
          <w:lang w:val="ro-RO"/>
        </w:rPr>
      </w:pPr>
    </w:p>
    <w:p w:rsidR="00B52A1F" w:rsidRPr="006B4E75" w:rsidRDefault="00CE2728" w:rsidP="006B4E75">
      <w:pPr>
        <w:pStyle w:val="Heading4"/>
        <w:jc w:val="both"/>
        <w:rPr>
          <w:rFonts w:eastAsia="Calibri"/>
          <w:lang w:val="ro-RO"/>
        </w:rPr>
      </w:pPr>
      <w:r>
        <w:rPr>
          <w:noProof/>
          <w:lang w:val="ro-RO"/>
        </w:rPr>
        <w:t>(</w:t>
      </w:r>
      <w:r w:rsidR="00B52A1F">
        <w:rPr>
          <w:noProof/>
          <w:lang w:val="ro-RO"/>
        </w:rPr>
        <w:t>Anexa 1a</w:t>
      </w:r>
      <w:r w:rsidR="006B4E75">
        <w:rPr>
          <w:b w:val="0"/>
          <w:noProof/>
          <w:lang w:val="ro-RO"/>
        </w:rPr>
        <w:t>-</w:t>
      </w:r>
      <w:bookmarkStart w:id="1" w:name="_Toc14772576"/>
      <w:r w:rsidR="006B4E75" w:rsidRPr="006B4E75">
        <w:rPr>
          <w:rFonts w:eastAsia="Calibri"/>
          <w:lang w:val="ro-RO"/>
        </w:rPr>
        <w:t xml:space="preserve"> </w:t>
      </w:r>
      <w:r w:rsidR="006B4E75" w:rsidRPr="008D657E">
        <w:rPr>
          <w:rFonts w:eastAsia="Calibri"/>
          <w:i/>
          <w:lang w:val="ro-RO"/>
        </w:rPr>
        <w:t>Conformitatea cu regulile de exceptare de la notificare a ajutorului de stat</w:t>
      </w:r>
      <w:bookmarkEnd w:id="1"/>
      <w:r w:rsidR="006B4E75" w:rsidRPr="008D657E">
        <w:rPr>
          <w:rFonts w:eastAsia="Calibri"/>
          <w:i/>
          <w:lang w:val="ro-RO"/>
        </w:rPr>
        <w:t>/ Conformitatea cu punctul 2 din Grila analitic</w:t>
      </w:r>
      <w:r w:rsidR="00C86032" w:rsidRPr="008D657E">
        <w:rPr>
          <w:rFonts w:eastAsia="Calibri"/>
          <w:i/>
          <w:lang w:val="ro-RO"/>
        </w:rPr>
        <w:t>ă</w:t>
      </w:r>
      <w:r w:rsidR="006B4E75" w:rsidRPr="008D657E">
        <w:rPr>
          <w:rFonts w:eastAsia="Calibri"/>
          <w:i/>
          <w:lang w:val="ro-RO"/>
        </w:rPr>
        <w:t xml:space="preserve"> pentru infrastructura energetică privind monopolul natural</w:t>
      </w:r>
      <w:r w:rsidR="006B4E75">
        <w:rPr>
          <w:rFonts w:eastAsia="Calibri"/>
          <w:lang w:val="ro-RO"/>
        </w:rPr>
        <w:t>,</w:t>
      </w:r>
      <w:r>
        <w:rPr>
          <w:noProof/>
          <w:lang w:val="ro-RO"/>
        </w:rPr>
        <w:t xml:space="preserve"> la Ghidul solicitantului)</w:t>
      </w:r>
    </w:p>
    <w:p w:rsidR="00B52A1F" w:rsidRDefault="00B52A1F" w:rsidP="00CB1CF6">
      <w:pPr>
        <w:shd w:val="clear" w:color="auto" w:fill="FFFFFF"/>
        <w:spacing w:after="0" w:line="240" w:lineRule="auto"/>
        <w:jc w:val="center"/>
        <w:rPr>
          <w:b/>
          <w:noProof/>
          <w:lang w:val="ro-RO"/>
        </w:rPr>
      </w:pPr>
    </w:p>
    <w:p w:rsidR="00B52A1F" w:rsidRDefault="00B52A1F" w:rsidP="00CB1CF6">
      <w:pPr>
        <w:shd w:val="clear" w:color="auto" w:fill="FFFFFF"/>
        <w:spacing w:after="0" w:line="240" w:lineRule="auto"/>
        <w:jc w:val="center"/>
        <w:rPr>
          <w:b/>
          <w:noProof/>
          <w:lang w:val="ro-RO"/>
        </w:rPr>
      </w:pPr>
    </w:p>
    <w:p w:rsidR="005B5C7B" w:rsidRDefault="00205561" w:rsidP="005B5C7B">
      <w:pPr>
        <w:pStyle w:val="ListParagraph"/>
        <w:numPr>
          <w:ilvl w:val="0"/>
          <w:numId w:val="9"/>
        </w:numPr>
        <w:shd w:val="clear" w:color="auto" w:fill="FFFFFF"/>
        <w:tabs>
          <w:tab w:val="left" w:pos="360"/>
        </w:tabs>
        <w:spacing w:after="0" w:line="240" w:lineRule="auto"/>
        <w:ind w:left="450"/>
        <w:jc w:val="center"/>
        <w:rPr>
          <w:b/>
          <w:noProof/>
          <w:lang w:val="ro-RO"/>
        </w:rPr>
      </w:pPr>
      <w:r w:rsidRPr="00B52A1F">
        <w:rPr>
          <w:b/>
          <w:noProof/>
          <w:lang w:val="ro-RO"/>
        </w:rPr>
        <w:t xml:space="preserve"> </w:t>
      </w:r>
      <w:r w:rsidR="00D329E9" w:rsidRPr="00B52A1F">
        <w:rPr>
          <w:b/>
          <w:noProof/>
          <w:lang w:val="ro-RO"/>
        </w:rPr>
        <w:t xml:space="preserve">Conformitatea cu </w:t>
      </w:r>
      <w:r w:rsidR="00136FEB" w:rsidRPr="00B52A1F">
        <w:rPr>
          <w:b/>
          <w:noProof/>
          <w:lang w:val="ro-RO"/>
        </w:rPr>
        <w:t>prevederile</w:t>
      </w:r>
      <w:r w:rsidR="00D329E9" w:rsidRPr="00B52A1F">
        <w:rPr>
          <w:b/>
          <w:noProof/>
          <w:lang w:val="ro-RO"/>
        </w:rPr>
        <w:t xml:space="preserve"> din Regulamentul 651/2014 privind ajutorul de stat exceptat de la notificare</w:t>
      </w:r>
      <w:r w:rsidR="00B1772C" w:rsidRPr="00B1772C">
        <w:rPr>
          <w:rFonts w:eastAsia="Times New Roman" w:cs="Times New Roman"/>
          <w:bCs/>
          <w:sz w:val="20"/>
          <w:szCs w:val="20"/>
          <w:vertAlign w:val="superscript"/>
          <w:lang w:val="gsw-FR" w:eastAsia="sk-SK"/>
        </w:rPr>
        <w:footnoteReference w:id="1"/>
      </w:r>
    </w:p>
    <w:p w:rsidR="00B52A1F" w:rsidRPr="006F429A" w:rsidRDefault="005B5C7B" w:rsidP="006F429A">
      <w:pPr>
        <w:pStyle w:val="ListParagraph"/>
        <w:shd w:val="clear" w:color="auto" w:fill="FFFFFF"/>
        <w:spacing w:after="0" w:line="240" w:lineRule="auto"/>
        <w:ind w:left="1080"/>
        <w:rPr>
          <w:i/>
          <w:noProof/>
          <w:lang w:val="ro-RO"/>
        </w:rPr>
      </w:pPr>
      <w:r>
        <w:rPr>
          <w:b/>
          <w:i/>
          <w:noProof/>
          <w:lang w:val="ro-RO"/>
        </w:rPr>
        <w:t xml:space="preserve">                                      </w:t>
      </w:r>
      <w:r w:rsidRPr="005B5C7B">
        <w:rPr>
          <w:i/>
          <w:noProof/>
          <w:lang w:val="ro-RO"/>
        </w:rPr>
        <w:t>(pentru proiectele din cadrul OS 8.2)</w:t>
      </w:r>
    </w:p>
    <w:p w:rsidR="00C456E8" w:rsidRDefault="00C456E8" w:rsidP="00D329E9">
      <w:pPr>
        <w:shd w:val="clear" w:color="auto" w:fill="FFFFFF"/>
        <w:spacing w:after="0" w:line="240" w:lineRule="auto"/>
        <w:jc w:val="both"/>
        <w:rPr>
          <w:b/>
          <w:i/>
          <w:noProof/>
          <w:lang w:val="ro-RO"/>
        </w:rPr>
      </w:pPr>
    </w:p>
    <w:p w:rsidR="00C456E8" w:rsidRPr="006F429A" w:rsidRDefault="00B52A1F" w:rsidP="00C456E8">
      <w:pPr>
        <w:shd w:val="clear" w:color="auto" w:fill="FFFFFF"/>
        <w:spacing w:after="0" w:line="240" w:lineRule="auto"/>
        <w:jc w:val="both"/>
        <w:rPr>
          <w:b/>
          <w:i/>
          <w:noProof/>
          <w:lang w:val="ro-RO"/>
        </w:rPr>
      </w:pPr>
      <w:r w:rsidRPr="00B52A1F">
        <w:rPr>
          <w:b/>
          <w:noProof/>
          <w:lang w:val="ro-RO"/>
        </w:rPr>
        <w:t xml:space="preserve">1. </w:t>
      </w:r>
      <w:r w:rsidR="00C456E8" w:rsidRPr="00B52A1F">
        <w:rPr>
          <w:b/>
          <w:noProof/>
          <w:lang w:val="ro-RO"/>
        </w:rPr>
        <w:t xml:space="preserve">Reguli </w:t>
      </w:r>
      <w:r w:rsidR="00E77C31" w:rsidRPr="00B52A1F">
        <w:rPr>
          <w:b/>
          <w:noProof/>
          <w:lang w:val="ro-RO"/>
        </w:rPr>
        <w:t xml:space="preserve">cu caracter general prevăzute în Capitolul </w:t>
      </w:r>
      <w:r w:rsidR="00C456E8" w:rsidRPr="00B52A1F">
        <w:rPr>
          <w:b/>
          <w:noProof/>
          <w:lang w:val="ro-RO"/>
        </w:rPr>
        <w:t>I</w:t>
      </w:r>
      <w:r w:rsidR="00A22C57" w:rsidRPr="00B52A1F">
        <w:rPr>
          <w:b/>
          <w:noProof/>
          <w:lang w:val="ro-RO"/>
        </w:rPr>
        <w:t xml:space="preserve"> al </w:t>
      </w:r>
      <w:r w:rsidR="0061296D" w:rsidRPr="00B52A1F">
        <w:rPr>
          <w:b/>
          <w:i/>
          <w:noProof/>
          <w:lang w:val="ro-RO"/>
        </w:rPr>
        <w:t>Regulamentul</w:t>
      </w:r>
      <w:r w:rsidR="00335A65" w:rsidRPr="00B52A1F">
        <w:rPr>
          <w:b/>
          <w:i/>
          <w:noProof/>
          <w:lang w:val="ro-RO"/>
        </w:rPr>
        <w:t>ui</w:t>
      </w:r>
      <w:r w:rsidR="0061296D" w:rsidRPr="00B52A1F">
        <w:rPr>
          <w:b/>
          <w:i/>
          <w:noProof/>
          <w:lang w:val="ro-RO"/>
        </w:rPr>
        <w:t xml:space="preserve"> (UE) nr.651/2014 de declarare a anumitor categorii de ajutoare compatibile cu piața internă în aplicarea articolelor 107 și 108 din tratat</w:t>
      </w:r>
    </w:p>
    <w:p w:rsidR="00B57A33" w:rsidRPr="0082538B" w:rsidRDefault="00B57A33" w:rsidP="00CE2728">
      <w:pPr>
        <w:shd w:val="clear" w:color="auto" w:fill="FFFFFF"/>
        <w:spacing w:before="100" w:beforeAutospacing="1" w:after="100" w:afterAutospacing="1" w:line="240" w:lineRule="auto"/>
        <w:jc w:val="both"/>
        <w:rPr>
          <w:rFonts w:cstheme="minorHAnsi"/>
          <w:b/>
          <w:i/>
          <w:szCs w:val="24"/>
          <w:lang w:val="ro-RO"/>
        </w:rPr>
      </w:pPr>
      <w:r>
        <w:rPr>
          <w:b/>
          <w:noProof/>
          <w:u w:val="single"/>
          <w:lang w:val="ro-RO"/>
        </w:rPr>
        <w:t xml:space="preserve">Art. 1, alin.4, lit.c. Condiţia ca firma să nu se afle în dificultate </w:t>
      </w:r>
    </w:p>
    <w:tbl>
      <w:tblPr>
        <w:tblStyle w:val="TableGrid"/>
        <w:tblW w:w="0" w:type="auto"/>
        <w:tblLook w:val="04A0" w:firstRow="1" w:lastRow="0" w:firstColumn="1" w:lastColumn="0" w:noHBand="0" w:noVBand="1"/>
      </w:tblPr>
      <w:tblGrid>
        <w:gridCol w:w="9350"/>
      </w:tblGrid>
      <w:tr w:rsidR="00270CA3" w:rsidRPr="0061296D" w:rsidTr="00270CA3">
        <w:tc>
          <w:tcPr>
            <w:tcW w:w="9576" w:type="dxa"/>
          </w:tcPr>
          <w:p w:rsidR="003B1722" w:rsidRPr="001B0957" w:rsidRDefault="00270CA3" w:rsidP="00D90E91">
            <w:pPr>
              <w:spacing w:before="100" w:beforeAutospacing="1" w:after="100" w:afterAutospacing="1"/>
              <w:jc w:val="both"/>
              <w:rPr>
                <w:rFonts w:cstheme="minorHAnsi"/>
                <w:i/>
                <w:color w:val="FF0000"/>
                <w:szCs w:val="24"/>
                <w:lang w:val="ro-RO"/>
              </w:rPr>
            </w:pPr>
            <w:r w:rsidRPr="0082538B">
              <w:rPr>
                <w:rFonts w:cstheme="minorHAnsi"/>
                <w:i/>
                <w:color w:val="FF0000"/>
                <w:szCs w:val="24"/>
                <w:lang w:val="ro-RO"/>
              </w:rPr>
              <w:t xml:space="preserve">Se va proba că solicitantul nu este </w:t>
            </w:r>
            <w:r w:rsidR="00FB1D12">
              <w:rPr>
                <w:rFonts w:cstheme="minorHAnsi"/>
                <w:i/>
                <w:color w:val="FF0000"/>
                <w:szCs w:val="24"/>
                <w:lang w:val="ro-RO"/>
              </w:rPr>
              <w:t xml:space="preserve">întreprindere </w:t>
            </w:r>
            <w:r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82538B">
              <w:rPr>
                <w:i/>
                <w:color w:val="FF0000"/>
                <w:lang w:val="fr-FR"/>
              </w:rPr>
              <w:t xml:space="preserve"> </w:t>
            </w:r>
            <w:proofErr w:type="spellStart"/>
            <w:r w:rsidR="0082538B" w:rsidRPr="0082538B">
              <w:rPr>
                <w:i/>
                <w:color w:val="FF0000"/>
                <w:lang w:val="fr-FR"/>
              </w:rPr>
              <w:t>cu</w:t>
            </w:r>
            <w:proofErr w:type="spellEnd"/>
            <w:r w:rsidR="0082538B" w:rsidRPr="0082538B">
              <w:rPr>
                <w:i/>
                <w:color w:val="FF0000"/>
                <w:lang w:val="fr-FR"/>
              </w:rPr>
              <w:t xml:space="preserve"> </w:t>
            </w:r>
            <w:proofErr w:type="spellStart"/>
            <w:r w:rsidR="0082538B" w:rsidRPr="0082538B">
              <w:rPr>
                <w:i/>
                <w:color w:val="FF0000"/>
                <w:lang w:val="fr-FR"/>
              </w:rPr>
              <w:t>metodologia</w:t>
            </w:r>
            <w:proofErr w:type="spellEnd"/>
            <w:r w:rsidR="0082538B" w:rsidRPr="0082538B">
              <w:rPr>
                <w:i/>
                <w:color w:val="FF0000"/>
                <w:lang w:val="fr-FR"/>
              </w:rPr>
              <w:t xml:space="preserve"> de </w:t>
            </w:r>
            <w:proofErr w:type="spellStart"/>
            <w:r w:rsidR="0082538B" w:rsidRPr="0082538B">
              <w:rPr>
                <w:i/>
                <w:color w:val="FF0000"/>
                <w:lang w:val="fr-FR"/>
              </w:rPr>
              <w:t>verificare</w:t>
            </w:r>
            <w:proofErr w:type="spellEnd"/>
            <w:r w:rsidR="0082538B" w:rsidRPr="0082538B">
              <w:rPr>
                <w:i/>
                <w:color w:val="FF0000"/>
                <w:lang w:val="fr-FR"/>
              </w:rPr>
              <w:t xml:space="preserve"> a </w:t>
            </w:r>
            <w:proofErr w:type="spellStart"/>
            <w:r w:rsidR="0082538B" w:rsidRPr="0082538B">
              <w:rPr>
                <w:i/>
                <w:color w:val="FF0000"/>
                <w:lang w:val="fr-FR"/>
              </w:rPr>
              <w:t>unei</w:t>
            </w:r>
            <w:proofErr w:type="spellEnd"/>
            <w:r w:rsidR="0082538B" w:rsidRPr="0082538B">
              <w:rPr>
                <w:i/>
                <w:color w:val="FF0000"/>
                <w:lang w:val="fr-FR"/>
              </w:rPr>
              <w:t xml:space="preserve"> firme </w:t>
            </w:r>
            <w:proofErr w:type="spellStart"/>
            <w:r w:rsidR="0082538B" w:rsidRPr="0082538B">
              <w:rPr>
                <w:i/>
                <w:color w:val="FF0000"/>
                <w:lang w:val="fr-FR"/>
              </w:rPr>
              <w:t>în</w:t>
            </w:r>
            <w:proofErr w:type="spellEnd"/>
            <w:r w:rsidR="0082538B" w:rsidRPr="0082538B">
              <w:rPr>
                <w:i/>
                <w:color w:val="FF0000"/>
                <w:lang w:val="fr-FR"/>
              </w:rPr>
              <w:t xml:space="preserve"> </w:t>
            </w:r>
            <w:r w:rsidR="0082538B" w:rsidRPr="0082538B">
              <w:rPr>
                <w:rFonts w:cstheme="minorHAnsi"/>
                <w:i/>
                <w:color w:val="FF0000"/>
                <w:szCs w:val="24"/>
                <w:lang w:val="ro-RO"/>
              </w:rPr>
              <w:t>dificultate (</w:t>
            </w:r>
            <w:r w:rsidR="00E947EE">
              <w:rPr>
                <w:rFonts w:cstheme="minorHAnsi"/>
                <w:i/>
                <w:color w:val="FF0000"/>
                <w:szCs w:val="24"/>
                <w:lang w:val="ro-RO"/>
              </w:rPr>
              <w:t>publicată pe pagina de internet a MFE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închidere a exercițiului financiar), 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articolul 2, alin 18 din Regulamentul (UE) nr.651/2014.</w:t>
            </w:r>
          </w:p>
          <w:p w:rsidR="00270CA3" w:rsidRPr="0082538B" w:rsidRDefault="00687F6F" w:rsidP="00BA26D2">
            <w:pPr>
              <w:spacing w:before="100" w:beforeAutospacing="1" w:after="100" w:afterAutospacing="1"/>
              <w:jc w:val="both"/>
              <w:rPr>
                <w:i/>
                <w:noProof/>
                <w:u w:val="single"/>
                <w:lang w:val="ro-RO"/>
              </w:rPr>
            </w:pPr>
            <w:r>
              <w:rPr>
                <w:rFonts w:cstheme="minorHAnsi"/>
                <w:i/>
                <w:color w:val="FF0000"/>
                <w:szCs w:val="24"/>
                <w:lang w:val="ro-RO"/>
              </w:rPr>
              <w:t>De asemenea, s</w:t>
            </w:r>
            <w:r w:rsidR="00137F01" w:rsidRPr="008209F4">
              <w:rPr>
                <w:rFonts w:cstheme="minorHAnsi"/>
                <w:i/>
                <w:color w:val="FF0000"/>
                <w:szCs w:val="24"/>
                <w:lang w:val="ro-RO"/>
              </w:rPr>
              <w:t>e va avea în vedere corelarea cu informațiile prevăzute în Secțiunea</w:t>
            </w:r>
            <w:r w:rsidR="008209F4" w:rsidRPr="00687F6F">
              <w:rPr>
                <w:lang w:val="ro-RO"/>
              </w:rPr>
              <w:t xml:space="preserve"> </w:t>
            </w:r>
            <w:r>
              <w:rPr>
                <w:rFonts w:cstheme="minorHAnsi"/>
                <w:i/>
                <w:color w:val="FF0000"/>
                <w:szCs w:val="24"/>
                <w:lang w:val="ro-RO"/>
              </w:rPr>
              <w:t>C.2.</w:t>
            </w:r>
            <w:r w:rsidR="008209F4">
              <w:rPr>
                <w:rFonts w:cstheme="minorHAnsi"/>
                <w:i/>
                <w:color w:val="FF0000"/>
                <w:szCs w:val="24"/>
                <w:lang w:val="ro-RO"/>
              </w:rPr>
              <w:t xml:space="preserve">Verificarea </w:t>
            </w:r>
            <w:r w:rsidR="008209F4" w:rsidRPr="008209F4">
              <w:rPr>
                <w:rFonts w:cstheme="minorHAnsi"/>
                <w:i/>
                <w:color w:val="FF0000"/>
                <w:szCs w:val="24"/>
                <w:lang w:val="ro-RO"/>
              </w:rPr>
              <w:t>conformității cu normele privind ajutoarele de stat</w:t>
            </w:r>
            <w:r w:rsidR="000B43F6">
              <w:rPr>
                <w:rFonts w:cstheme="minorHAnsi"/>
                <w:i/>
                <w:color w:val="FF0000"/>
                <w:szCs w:val="24"/>
                <w:lang w:val="ro-RO"/>
              </w:rPr>
              <w:t>,</w:t>
            </w:r>
            <w:r w:rsidR="008209F4" w:rsidRPr="008209F4">
              <w:rPr>
                <w:rFonts w:cstheme="minorHAnsi"/>
                <w:i/>
                <w:color w:val="FF0000"/>
                <w:szCs w:val="24"/>
                <w:lang w:val="ro-RO"/>
              </w:rPr>
              <w:t xml:space="preserve"> </w:t>
            </w:r>
            <w:r w:rsidR="00137F01" w:rsidRPr="008209F4">
              <w:rPr>
                <w:rFonts w:cstheme="minorHAnsi"/>
                <w:i/>
                <w:color w:val="FF0000"/>
                <w:szCs w:val="24"/>
                <w:lang w:val="ro-RO"/>
              </w:rPr>
              <w:t>din Cererea de Finanțare</w:t>
            </w:r>
            <w:r w:rsidR="00423F5E" w:rsidRPr="00423F5E">
              <w:rPr>
                <w:rFonts w:cstheme="minorHAnsi"/>
                <w:i/>
                <w:color w:val="FF0000"/>
                <w:szCs w:val="24"/>
                <w:lang w:val="ro-RO"/>
              </w:rPr>
              <w:t xml:space="preserve"> şi Declaraţia privind conformitatea cu regulile ajutorului de stat, Anexa C1.3 la Cererea de finanţare</w:t>
            </w:r>
          </w:p>
        </w:tc>
      </w:tr>
    </w:tbl>
    <w:p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350"/>
      </w:tblGrid>
      <w:tr w:rsidR="00D90E91" w:rsidRPr="0061296D" w:rsidTr="001C3062">
        <w:tc>
          <w:tcPr>
            <w:tcW w:w="9576" w:type="dxa"/>
          </w:tcPr>
          <w:p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E77C31" w:rsidRDefault="00E77C31" w:rsidP="001C3062">
            <w:pPr>
              <w:autoSpaceDE w:val="0"/>
              <w:autoSpaceDN w:val="0"/>
              <w:adjustRightInd w:val="0"/>
              <w:jc w:val="both"/>
              <w:rPr>
                <w:rFonts w:eastAsia="Times New Roman" w:cs="Times New Roman"/>
                <w:i/>
                <w:szCs w:val="24"/>
                <w:lang w:val="ro-RO" w:eastAsia="ro-RO"/>
              </w:rPr>
            </w:pPr>
          </w:p>
          <w:p w:rsidR="00D90E91" w:rsidRPr="00464009" w:rsidRDefault="00D90E91" w:rsidP="001C3062">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16229D" w:rsidRPr="0016229D">
              <w:rPr>
                <w:rFonts w:eastAsia="Times New Roman" w:cs="Times New Roman"/>
                <w:szCs w:val="24"/>
                <w:lang w:val="ro-RO" w:eastAsia="ro-RO"/>
              </w:rPr>
              <w:t>Obiectivului specific</w:t>
            </w:r>
            <w:r w:rsidRPr="00464009">
              <w:rPr>
                <w:rFonts w:eastAsia="Times New Roman" w:cs="Times New Roman"/>
                <w:szCs w:val="24"/>
                <w:lang w:val="ro-RO" w:eastAsia="ro-RO"/>
              </w:rPr>
              <w:t xml:space="preserve"> 8.1/8.2</w:t>
            </w:r>
            <w:r w:rsidR="00421E8E">
              <w:rPr>
                <w:rFonts w:eastAsia="Times New Roman" w:cs="Times New Roman"/>
                <w:szCs w:val="24"/>
                <w:lang w:val="ro-RO" w:eastAsia="ro-RO"/>
              </w:rPr>
              <w:t xml:space="preserve">, secţiunea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296D" w:rsidTr="001C3062">
        <w:tc>
          <w:tcPr>
            <w:tcW w:w="9576" w:type="dxa"/>
          </w:tcPr>
          <w:p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lastRenderedPageBreak/>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rsidR="00E77C31" w:rsidRPr="00464009" w:rsidRDefault="00E77C3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00DB6F54" w:rsidRPr="00DB6F54">
              <w:rPr>
                <w:rFonts w:eastAsia="Times New Roman" w:cs="Times New Roman"/>
                <w:i/>
                <w:color w:val="FF0000"/>
                <w:szCs w:val="24"/>
                <w:lang w:val="ro-RO" w:eastAsia="ro-RO"/>
              </w:rPr>
              <w:t xml:space="preserve">Secţiunile B.3.1 și H,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 cu regulile ajutorului de stat, Anexa C1.3 la Cererea de finanţare</w:t>
            </w:r>
          </w:p>
        </w:tc>
      </w:tr>
    </w:tbl>
    <w:p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Art 4. Praguri de notificare, alin 1, lit x</w:t>
      </w:r>
    </w:p>
    <w:p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B900A7" w:rsidRPr="0061296D" w:rsidTr="00241901">
        <w:trPr>
          <w:trHeight w:val="1390"/>
        </w:trPr>
        <w:tc>
          <w:tcPr>
            <w:tcW w:w="9576" w:type="dxa"/>
          </w:tcPr>
          <w:p w:rsidR="00E77C31" w:rsidRDefault="00B900A7" w:rsidP="00E77C31">
            <w:pPr>
              <w:shd w:val="clear" w:color="auto" w:fill="FFFFFF"/>
              <w:jc w:val="both"/>
              <w:rPr>
                <w:i/>
                <w:noProof/>
                <w:color w:val="FF0000"/>
                <w:lang w:val="ro-RO"/>
              </w:rPr>
            </w:pPr>
            <w:r w:rsidRPr="00B900A7">
              <w:rPr>
                <w:i/>
                <w:noProof/>
                <w:color w:val="FF0000"/>
                <w:lang w:val="ro-RO"/>
              </w:rPr>
              <w:t xml:space="preserve">Se va preciza dacă valoarea ajutorului solicitat (deficitul de finanţare), ce rezultă din analiza cost-beneficiu, depășește 50 milioane euro. </w:t>
            </w:r>
          </w:p>
          <w:p w:rsidR="00E77C31" w:rsidRDefault="00E77C31" w:rsidP="00E77C31">
            <w:pPr>
              <w:shd w:val="clear" w:color="auto" w:fill="FFFFFF"/>
              <w:jc w:val="both"/>
              <w:rPr>
                <w:i/>
                <w:noProof/>
                <w:color w:val="FF0000"/>
                <w:lang w:val="ro-RO"/>
              </w:rPr>
            </w:pPr>
          </w:p>
          <w:p w:rsidR="00B900A7" w:rsidRDefault="00B900A7" w:rsidP="00E77C31">
            <w:pPr>
              <w:shd w:val="clear" w:color="auto" w:fill="FFFFFF"/>
              <w:jc w:val="both"/>
              <w:rPr>
                <w:i/>
                <w:noProof/>
                <w:color w:val="FF0000"/>
                <w:lang w:val="ro-RO"/>
              </w:rPr>
            </w:pPr>
            <w:r w:rsidRPr="00B900A7">
              <w:rPr>
                <w:i/>
                <w:noProof/>
                <w:color w:val="FF0000"/>
                <w:lang w:val="ro-RO"/>
              </w:rPr>
              <w:t>Se va avea în vedere că dacă valoarea ajutorului solicitat depăşeşte pragul de 50 milioane euro/întreprindere/proiect este necesară notificarea Comisiei Europene.</w:t>
            </w:r>
          </w:p>
          <w:p w:rsidR="001C1064" w:rsidRDefault="001C1064" w:rsidP="00E77C31">
            <w:pPr>
              <w:shd w:val="clear" w:color="auto" w:fill="FFFFFF"/>
              <w:jc w:val="both"/>
              <w:rPr>
                <w:i/>
                <w:noProof/>
                <w:color w:val="FF0000"/>
                <w:lang w:val="ro-RO"/>
              </w:rPr>
            </w:pPr>
          </w:p>
          <w:p w:rsidR="00A22C57" w:rsidRPr="00C456E8" w:rsidRDefault="00A22C57" w:rsidP="00913A01">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Secțiunea</w:t>
            </w:r>
            <w:r w:rsidR="00913A01" w:rsidRPr="00913A01">
              <w:rPr>
                <w:rFonts w:eastAsia="Times New Roman" w:cs="Times New Roman"/>
                <w:i/>
                <w:color w:val="FF0000"/>
                <w:szCs w:val="24"/>
                <w:lang w:val="ro-RO" w:eastAsia="ro-RO"/>
              </w:rPr>
              <w:t xml:space="preserve"> C3 </w:t>
            </w:r>
            <w:r w:rsidRPr="00913A01">
              <w:rPr>
                <w:rFonts w:eastAsia="Times New Roman" w:cs="Times New Roman"/>
                <w:i/>
                <w:color w:val="FF0000"/>
                <w:szCs w:val="24"/>
                <w:lang w:val="ro-RO" w:eastAsia="ro-RO"/>
              </w:rPr>
              <w:t>din Cererea de Finanțare</w:t>
            </w:r>
          </w:p>
        </w:tc>
      </w:tr>
    </w:tbl>
    <w:p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Art. 6. Efectul stimulativ, alin.1 şi 3, lit.b</w:t>
      </w:r>
    </w:p>
    <w:tbl>
      <w:tblPr>
        <w:tblStyle w:val="TableGrid"/>
        <w:tblW w:w="0" w:type="auto"/>
        <w:tblLook w:val="04A0" w:firstRow="1" w:lastRow="0" w:firstColumn="1" w:lastColumn="0" w:noHBand="0" w:noVBand="1"/>
      </w:tblPr>
      <w:tblGrid>
        <w:gridCol w:w="9350"/>
      </w:tblGrid>
      <w:tr w:rsidR="00B23684" w:rsidRPr="0061296D" w:rsidTr="001C3062">
        <w:tc>
          <w:tcPr>
            <w:tcW w:w="9576" w:type="dxa"/>
          </w:tcPr>
          <w:p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Conform Ghidului solicitantului aferent O</w:t>
            </w:r>
            <w:r w:rsidR="007F2198">
              <w:rPr>
                <w:rFonts w:eastAsia="Times New Roman" w:cs="Times New Roman"/>
                <w:szCs w:val="24"/>
                <w:lang w:val="ro-RO" w:eastAsia="ro-RO"/>
              </w:rPr>
              <w:t>biectivului specific</w:t>
            </w:r>
            <w:r w:rsidRPr="00464009">
              <w:rPr>
                <w:rFonts w:eastAsia="Times New Roman" w:cs="Times New Roman"/>
                <w:szCs w:val="24"/>
                <w:lang w:val="ro-RO" w:eastAsia="ro-RO"/>
              </w:rPr>
              <w:t xml:space="preserve"> 8.1/8.2</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rsidR="00B23684" w:rsidRP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Se va completa cu elementele precizate mai sus la punctele a)-e)</w:t>
            </w:r>
          </w:p>
        </w:tc>
      </w:tr>
      <w:tr w:rsidR="00B23684" w:rsidRPr="0061296D" w:rsidTr="001C3062">
        <w:tc>
          <w:tcPr>
            <w:tcW w:w="9576" w:type="dxa"/>
          </w:tcPr>
          <w:p w:rsidR="00CE2433" w:rsidRPr="007B17E3" w:rsidRDefault="00CE2433" w:rsidP="00CE2433">
            <w:p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Se consideră că ajutoarele ad-hoc acordate întreprinderilor mari au un efect stimulativ în cazul în care, în plus față de faptul că asigură îndeplinirea condiției prevăzute </w:t>
            </w:r>
            <w:r w:rsidR="004D5A90">
              <w:rPr>
                <w:rFonts w:eastAsia="Times New Roman" w:cs="Times New Roman"/>
                <w:i/>
                <w:szCs w:val="24"/>
                <w:lang w:val="ro-RO" w:eastAsia="ro-RO"/>
              </w:rPr>
              <w:t>mai sus</w:t>
            </w:r>
            <w:r w:rsidRPr="007B17E3">
              <w:rPr>
                <w:rFonts w:eastAsia="Times New Roman" w:cs="Times New Roman"/>
                <w:i/>
                <w:szCs w:val="24"/>
                <w:lang w:val="ro-RO" w:eastAsia="ro-RO"/>
              </w:rPr>
              <w:t>, statul membru a verificat, înainte de a acorda ajutorul în cauză, că documentația pregătită de beneficiar stabilește că ajutoarele vor avea drept rezultat unul sau mai multe dintre următoarele:</w:t>
            </w:r>
          </w:p>
          <w:p w:rsidR="00CE2433" w:rsidRPr="007B17E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domeniului de aplicare al proiectului/activității ca urmare a ajutorului; sau </w:t>
            </w:r>
          </w:p>
          <w:p w:rsid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7B17E3">
              <w:rPr>
                <w:rFonts w:eastAsia="Times New Roman" w:cs="Times New Roman"/>
                <w:i/>
                <w:szCs w:val="24"/>
                <w:lang w:val="ro-RO" w:eastAsia="ro-RO"/>
              </w:rPr>
              <w:t xml:space="preserve">o creștere substanțială a valorii totale a cheltuielilor suportate de beneficiar pentru proiect/activitate ca urmare a ajutorului; sau </w:t>
            </w:r>
          </w:p>
          <w:p w:rsidR="00CE2433" w:rsidRPr="00CE2433" w:rsidRDefault="00CE2433" w:rsidP="00CE2433">
            <w:pPr>
              <w:pStyle w:val="ListParagraph"/>
              <w:numPr>
                <w:ilvl w:val="0"/>
                <w:numId w:val="1"/>
              </w:numPr>
              <w:shd w:val="clear" w:color="auto" w:fill="FFFFFF"/>
              <w:spacing w:before="100" w:beforeAutospacing="1" w:after="100" w:afterAutospacing="1"/>
              <w:jc w:val="both"/>
              <w:rPr>
                <w:rFonts w:eastAsia="Times New Roman" w:cs="Times New Roman"/>
                <w:i/>
                <w:szCs w:val="24"/>
                <w:lang w:val="ro-RO" w:eastAsia="ro-RO"/>
              </w:rPr>
            </w:pPr>
            <w:r w:rsidRPr="00CE2433">
              <w:rPr>
                <w:rFonts w:eastAsia="Times New Roman" w:cs="Times New Roman"/>
                <w:i/>
                <w:szCs w:val="24"/>
                <w:lang w:val="ro-RO" w:eastAsia="ro-RO"/>
              </w:rPr>
              <w:t>o creștere substanțială a ritmului de finalizare a proiectului/activității în cauză.</w:t>
            </w:r>
          </w:p>
          <w:p w:rsidR="00CE2433"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Se va demonstra că ajutorul pentru investiţia propusă are drept rezultat unul sau mai multe dintre elementele menţionate mai sus.</w:t>
            </w:r>
          </w:p>
          <w:p w:rsidR="00CE2433" w:rsidRPr="00CE2433" w:rsidRDefault="00CE2433" w:rsidP="00CE2433">
            <w:pPr>
              <w:jc w:val="both"/>
              <w:rPr>
                <w:rFonts w:eastAsia="Times New Roman" w:cs="Times New Roman"/>
                <w:i/>
                <w:color w:val="FF0000"/>
                <w:szCs w:val="24"/>
                <w:lang w:val="ro-RO" w:eastAsia="ro-RO"/>
              </w:rPr>
            </w:pPr>
          </w:p>
          <w:p w:rsidR="006B67DF" w:rsidRPr="00CE2433" w:rsidRDefault="00CE2433"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ajutor de stat în cadrul </w:t>
            </w:r>
            <w:r w:rsidR="0016229D" w:rsidRPr="0016229D">
              <w:rPr>
                <w:rFonts w:eastAsia="Times New Roman" w:cs="Times New Roman"/>
                <w:i/>
                <w:color w:val="FF0000"/>
                <w:szCs w:val="24"/>
                <w:lang w:val="ro-RO" w:eastAsia="ro-RO"/>
              </w:rPr>
              <w:t>Obiectivului specific</w:t>
            </w:r>
            <w:r w:rsidR="005B5C7B">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8.2 vor explica ce s-ar întâmpla în absența ajutorului, și anume o situație care este descrisă ca fiind scenariul contrafactual. În sprijinul scenariului contrafactual descris în cererea de finanţare se vor prezenta documente justificative.</w:t>
            </w:r>
          </w:p>
          <w:p w:rsidR="006B67DF" w:rsidRDefault="006B67DF" w:rsidP="006B67DF">
            <w:pPr>
              <w:jc w:val="both"/>
              <w:rPr>
                <w:rFonts w:eastAsia="Times New Roman" w:cs="Times New Roman"/>
                <w:szCs w:val="24"/>
                <w:lang w:val="ro-RO" w:eastAsia="ro-RO"/>
              </w:rPr>
            </w:pPr>
          </w:p>
          <w:p w:rsidR="006B67DF"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Acestea trebuie să furnizeze dovezi clare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r w:rsidR="00D860DD">
              <w:rPr>
                <w:rFonts w:eastAsia="Times New Roman" w:cs="Times New Roman"/>
                <w:i/>
                <w:color w:val="FF0000"/>
                <w:szCs w:val="24"/>
                <w:lang w:val="ro-RO" w:eastAsia="ro-RO"/>
              </w:rPr>
              <w:t>.</w:t>
            </w:r>
          </w:p>
          <w:p w:rsidR="00D860DD" w:rsidRPr="00CE2433" w:rsidRDefault="00D860DD" w:rsidP="006B67DF">
            <w:pPr>
              <w:jc w:val="both"/>
              <w:rPr>
                <w:rFonts w:eastAsia="Times New Roman" w:cs="Times New Roman"/>
                <w:i/>
                <w:color w:val="FF0000"/>
                <w:szCs w:val="24"/>
                <w:lang w:val="ro-RO" w:eastAsia="ro-RO"/>
              </w:rPr>
            </w:pPr>
          </w:p>
          <w:p w:rsidR="006B67DF" w:rsidRPr="00CE2433" w:rsidRDefault="006B67DF" w:rsidP="006B67DF">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Această schimbare a comportamentului nu s-ar produce în absența ajutorului respectiv. Ajutoarele nu </w:t>
            </w:r>
            <w:r w:rsidR="0010170A" w:rsidRPr="00CE2433">
              <w:rPr>
                <w:rFonts w:eastAsia="Times New Roman" w:cs="Times New Roman"/>
                <w:i/>
                <w:color w:val="FF0000"/>
                <w:szCs w:val="24"/>
                <w:lang w:val="ro-RO" w:eastAsia="ro-RO"/>
              </w:rPr>
              <w:t>sprijină</w:t>
            </w:r>
            <w:r w:rsidRPr="00CE2433">
              <w:rPr>
                <w:rFonts w:eastAsia="Times New Roman" w:cs="Times New Roman"/>
                <w:i/>
                <w:color w:val="FF0000"/>
                <w:szCs w:val="24"/>
                <w:lang w:val="ro-RO" w:eastAsia="ro-RO"/>
              </w:rPr>
              <w:t xml:space="preserve"> costurile unei activități pe care întreprinderea si le-ar fi suportat oricum și nu va compensa riscul comercial normal al unei activități economice..</w:t>
            </w:r>
          </w:p>
          <w:p w:rsidR="006B67DF" w:rsidRPr="00CE2433" w:rsidRDefault="006B67DF" w:rsidP="006B67DF">
            <w:pPr>
              <w:jc w:val="both"/>
              <w:rPr>
                <w:rFonts w:eastAsia="Times New Roman" w:cs="Times New Roman"/>
                <w:i/>
                <w:color w:val="FF0000"/>
                <w:szCs w:val="24"/>
                <w:lang w:val="ro-RO" w:eastAsia="ro-RO"/>
              </w:rPr>
            </w:pPr>
          </w:p>
          <w:p w:rsidR="006B67DF" w:rsidRPr="00CE2433" w:rsidRDefault="006B67DF" w:rsidP="006B67DF">
            <w:pPr>
              <w:jc w:val="both"/>
              <w:rPr>
                <w:rFonts w:eastAsia="Calibri" w:cs="Times New Roman"/>
                <w:i/>
                <w:color w:val="FF0000"/>
                <w:sz w:val="28"/>
                <w:szCs w:val="24"/>
                <w:lang w:val="ro-RO"/>
              </w:rPr>
            </w:pPr>
            <w:r w:rsidRPr="00CE2433">
              <w:rPr>
                <w:rFonts w:eastAsia="Times New Roman" w:cs="Times New Roman"/>
                <w:i/>
                <w:color w:val="FF0000"/>
                <w:szCs w:val="24"/>
                <w:lang w:val="ro-RO" w:eastAsia="ro-RO"/>
              </w:rPr>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r w:rsidRPr="00CE2433">
              <w:rPr>
                <w:i/>
                <w:color w:val="FF0000"/>
                <w:sz w:val="28"/>
                <w:lang w:val="ro-RO"/>
              </w:rPr>
              <w:t>.</w:t>
            </w:r>
          </w:p>
          <w:p w:rsidR="00B612FE" w:rsidRPr="004D7CCE" w:rsidRDefault="00B612FE" w:rsidP="00CE2433">
            <w:pPr>
              <w:jc w:val="both"/>
              <w:rPr>
                <w:rFonts w:eastAsia="Times New Roman" w:cs="Times New Roman"/>
                <w:i/>
                <w:color w:val="FF0000"/>
                <w:szCs w:val="24"/>
                <w:lang w:val="ro-RO" w:eastAsia="ro-RO"/>
              </w:rPr>
            </w:pPr>
          </w:p>
          <w:p w:rsidR="004D7CCE" w:rsidRPr="00CE2433" w:rsidRDefault="00B612FE" w:rsidP="006F429A">
            <w:pPr>
              <w:jc w:val="both"/>
              <w:rPr>
                <w:rFonts w:eastAsia="Times New Roman" w:cs="Times New Roman"/>
                <w:szCs w:val="24"/>
                <w:lang w:val="ro-RO" w:eastAsia="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G.1.6</w:t>
            </w:r>
            <w:r w:rsidR="004D7CCE" w:rsidRPr="004D7CCE">
              <w:rPr>
                <w:color w:val="FF0000"/>
                <w:lang w:val="ro-RO"/>
              </w:rPr>
              <w:t xml:space="preserve"> </w:t>
            </w:r>
            <w:r w:rsidR="004D7CCE" w:rsidRPr="004D7CCE">
              <w:rPr>
                <w:rFonts w:cs="Times New Roman"/>
                <w:i/>
                <w:iCs/>
                <w:color w:val="FF0000"/>
                <w:szCs w:val="24"/>
                <w:lang w:val="ro-RO"/>
              </w:rPr>
              <w:t>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tc>
      </w:tr>
    </w:tbl>
    <w:p w:rsidR="00D90E91" w:rsidRDefault="00D90E91" w:rsidP="00B23684">
      <w:pPr>
        <w:shd w:val="clear" w:color="auto" w:fill="FFFFFF"/>
        <w:spacing w:after="0" w:line="240" w:lineRule="auto"/>
        <w:jc w:val="both"/>
        <w:rPr>
          <w:b/>
          <w:noProof/>
          <w:u w:val="single"/>
          <w:lang w:val="ro-RO"/>
        </w:rPr>
      </w:pPr>
    </w:p>
    <w:p w:rsidR="00B23684" w:rsidRDefault="00625C36" w:rsidP="00B23684">
      <w:pPr>
        <w:shd w:val="clear" w:color="auto" w:fill="FFFFFF"/>
        <w:spacing w:after="0" w:line="240" w:lineRule="auto"/>
        <w:jc w:val="both"/>
        <w:rPr>
          <w:lang w:val="ro-RO"/>
        </w:rPr>
      </w:pPr>
      <w:r>
        <w:rPr>
          <w:rFonts w:cs="Times New Roman"/>
          <w:b/>
          <w:szCs w:val="24"/>
          <w:u w:val="single"/>
          <w:lang w:val="ro-RO"/>
        </w:rPr>
        <w:t>Art. 8, alin 3.</w:t>
      </w:r>
      <w:r w:rsidR="00B23684" w:rsidRPr="00495E88">
        <w:rPr>
          <w:rFonts w:cs="Times New Roman"/>
          <w:b/>
          <w:szCs w:val="24"/>
          <w:u w:val="single"/>
          <w:lang w:val="ro-RO"/>
        </w:rPr>
        <w:t>Cumul</w:t>
      </w:r>
      <w:r w:rsidR="00B23684">
        <w:rPr>
          <w:rFonts w:cs="Times New Roman"/>
          <w:b/>
          <w:szCs w:val="24"/>
          <w:u w:val="single"/>
          <w:lang w:val="ro-RO"/>
        </w:rPr>
        <w:t>ul</w:t>
      </w:r>
      <w:r w:rsidR="00B23684" w:rsidRPr="00495E88">
        <w:rPr>
          <w:lang w:val="ro-RO"/>
        </w:rPr>
        <w:t xml:space="preserve"> </w:t>
      </w:r>
    </w:p>
    <w:p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61296D" w:rsidTr="00B81C7F">
        <w:tc>
          <w:tcPr>
            <w:tcW w:w="9576" w:type="dxa"/>
          </w:tcPr>
          <w:p w:rsidR="00B81C7F" w:rsidRPr="00D90E91" w:rsidRDefault="00625C36" w:rsidP="00D51D87">
            <w:pPr>
              <w:shd w:val="clear" w:color="auto" w:fill="FFFFFF"/>
              <w:spacing w:after="120"/>
              <w:jc w:val="both"/>
              <w:rPr>
                <w:rFonts w:cs="Times New Roman"/>
                <w:i/>
                <w:szCs w:val="24"/>
                <w:lang w:val="ro-RO"/>
              </w:rPr>
            </w:pPr>
            <w:r w:rsidRPr="00625C36">
              <w:rPr>
                <w:rFonts w:cs="Times New Roman"/>
                <w:i/>
                <w:szCs w:val="24"/>
                <w:lang w:val="ro-RO"/>
              </w:rPr>
              <w:t xml:space="preserve">Pentru acelaşi beneficiar şi aceleaşi cheltuieli eligibile, ajutorul acordat în cadrul obiectivului specific 8.2 se poate cumula </w:t>
            </w:r>
            <w:r w:rsidR="00243867">
              <w:rPr>
                <w:rFonts w:cs="Times New Roman"/>
                <w:i/>
                <w:szCs w:val="24"/>
                <w:lang w:val="ro-RO"/>
              </w:rPr>
              <w:t>cu orice alt</w:t>
            </w:r>
            <w:r w:rsidRPr="00625C36">
              <w:rPr>
                <w:rFonts w:cs="Times New Roman"/>
                <w:i/>
                <w:szCs w:val="24"/>
                <w:lang w:val="ro-RO"/>
              </w:rPr>
              <w:t xml:space="preserve"> ajutor de stat, inclusiv d</w:t>
            </w:r>
            <w:r w:rsidR="00243867">
              <w:rPr>
                <w:rFonts w:cs="Times New Roman"/>
                <w:i/>
                <w:szCs w:val="24"/>
                <w:lang w:val="ro-RO"/>
              </w:rPr>
              <w:t>e minimis. Ajutorul de stat cumulat se supune regulilor din Regulamentul nr. 651/2015 privid pragul de n</w:t>
            </w:r>
            <w:r w:rsidR="00606AD9">
              <w:rPr>
                <w:rFonts w:cs="Times New Roman"/>
                <w:i/>
                <w:szCs w:val="24"/>
                <w:lang w:val="ro-RO"/>
              </w:rPr>
              <w:t>otificare.</w:t>
            </w:r>
          </w:p>
        </w:tc>
      </w:tr>
      <w:tr w:rsidR="00B81C7F" w:rsidRPr="0061296D" w:rsidTr="00B81C7F">
        <w:tc>
          <w:tcPr>
            <w:tcW w:w="9576" w:type="dxa"/>
          </w:tcPr>
          <w:p w:rsidR="00305914" w:rsidRDefault="00305914" w:rsidP="00625C36">
            <w:pPr>
              <w:jc w:val="both"/>
              <w:rPr>
                <w:i/>
                <w:color w:val="FF0000"/>
                <w:lang w:val="ro-RO"/>
              </w:rPr>
            </w:pPr>
            <w:r>
              <w:rPr>
                <w:i/>
                <w:color w:val="FF0000"/>
                <w:lang w:val="ro-RO"/>
              </w:rPr>
              <w:t>Se va preciza dacă pentru activităţi din cadrul proiectului propus spre finanţare, solicitantul a primit ajutor de stat</w:t>
            </w:r>
            <w:r w:rsidR="006C4180">
              <w:rPr>
                <w:i/>
                <w:color w:val="FF0000"/>
                <w:lang w:val="ro-RO"/>
              </w:rPr>
              <w:t xml:space="preserve"> (grant din fonduri publice pentru cheltuieli</w:t>
            </w:r>
            <w:r w:rsidR="00D72871">
              <w:rPr>
                <w:i/>
                <w:color w:val="FF0000"/>
                <w:lang w:val="ro-RO"/>
              </w:rPr>
              <w:t>l</w:t>
            </w:r>
            <w:r w:rsidR="006C4180">
              <w:rPr>
                <w:i/>
                <w:color w:val="FF0000"/>
                <w:lang w:val="ro-RO"/>
              </w:rPr>
              <w:t xml:space="preserve">e eligibile </w:t>
            </w:r>
            <w:r w:rsidR="00D72871">
              <w:rPr>
                <w:i/>
                <w:color w:val="FF0000"/>
                <w:lang w:val="ro-RO"/>
              </w:rPr>
              <w:t xml:space="preserve">identificabile diferite </w:t>
            </w:r>
            <w:r w:rsidR="006C4180">
              <w:rPr>
                <w:i/>
                <w:color w:val="FF0000"/>
                <w:lang w:val="ro-RO"/>
              </w:rPr>
              <w:t>aferente obiectivului de investiții)</w:t>
            </w:r>
            <w:r w:rsidR="00D72871">
              <w:rPr>
                <w:i/>
                <w:color w:val="FF0000"/>
                <w:lang w:val="ro-RO"/>
              </w:rPr>
              <w:t>, pentru verificarea regulii de cumul</w:t>
            </w:r>
            <w:r w:rsidR="006C4180">
              <w:rPr>
                <w:i/>
                <w:color w:val="FF0000"/>
                <w:lang w:val="ro-RO"/>
              </w:rPr>
              <w:t>.</w:t>
            </w:r>
            <w:r>
              <w:rPr>
                <w:i/>
                <w:color w:val="FF0000"/>
                <w:lang w:val="ro-RO"/>
              </w:rPr>
              <w:t xml:space="preserve"> </w:t>
            </w:r>
          </w:p>
          <w:p w:rsidR="00305914" w:rsidRDefault="00305914" w:rsidP="00625C36">
            <w:pPr>
              <w:jc w:val="both"/>
              <w:rPr>
                <w:i/>
                <w:color w:val="FF0000"/>
                <w:lang w:val="ro-RO"/>
              </w:rPr>
            </w:pPr>
          </w:p>
          <w:p w:rsidR="00280831" w:rsidRDefault="00625C36" w:rsidP="00625C36">
            <w:pPr>
              <w:jc w:val="both"/>
              <w:rPr>
                <w:i/>
                <w:color w:val="FF0000"/>
                <w:lang w:val="ro-RO"/>
              </w:rPr>
            </w:pPr>
            <w:r w:rsidRPr="00625C36">
              <w:rPr>
                <w:i/>
                <w:color w:val="FF0000"/>
                <w:lang w:val="ro-RO"/>
              </w:rPr>
              <w:t xml:space="preserve">În cazul în care pentru costuri identificabile care se suprapun parțial sau integral cu cele din prezenta cerere de finanţare a mai fost acordat ajutor de stat, se vor preciza aceste costuri, schemele în baza cărora a fost obţinut ajutorul anterior, furnizorul de ajutor precum şi </w:t>
            </w:r>
            <w:r w:rsidR="00215756">
              <w:rPr>
                <w:i/>
                <w:color w:val="FF0000"/>
                <w:lang w:val="ro-RO"/>
              </w:rPr>
              <w:t xml:space="preserve">alte elemente relevante pentru </w:t>
            </w:r>
            <w:r w:rsidRPr="00625C36">
              <w:rPr>
                <w:i/>
                <w:color w:val="FF0000"/>
                <w:lang w:val="ro-RO"/>
              </w:rPr>
              <w:t xml:space="preserve">asigurarea respectării celor precizate în Regulamentul </w:t>
            </w:r>
            <w:r w:rsidR="006C4180">
              <w:rPr>
                <w:i/>
                <w:color w:val="FF0000"/>
                <w:lang w:val="ro-RO"/>
              </w:rPr>
              <w:t xml:space="preserve">nr. </w:t>
            </w:r>
            <w:r w:rsidRPr="00625C36">
              <w:rPr>
                <w:i/>
                <w:color w:val="FF0000"/>
                <w:lang w:val="ro-RO"/>
              </w:rPr>
              <w:t>651/2014.</w:t>
            </w:r>
          </w:p>
          <w:p w:rsidR="00280831" w:rsidRDefault="00280831" w:rsidP="00625C36">
            <w:pPr>
              <w:jc w:val="both"/>
              <w:rPr>
                <w:i/>
                <w:color w:val="FF0000"/>
                <w:lang w:val="ro-RO"/>
              </w:rPr>
            </w:pPr>
          </w:p>
          <w:p w:rsidR="00B81C7F" w:rsidRPr="00280831" w:rsidRDefault="00625C36" w:rsidP="00625C36">
            <w:pPr>
              <w:jc w:val="both"/>
              <w:rPr>
                <w:i/>
                <w:color w:val="FF0000"/>
                <w:lang w:val="ro-RO"/>
              </w:rPr>
            </w:pPr>
            <w:r>
              <w:rPr>
                <w:i/>
                <w:color w:val="FF0000"/>
                <w:lang w:val="ro-RO"/>
              </w:rPr>
              <w:t xml:space="preserve">Răspunsul </w:t>
            </w:r>
            <w:r w:rsidRPr="00625C36">
              <w:rPr>
                <w:i/>
                <w:color w:val="FF0000"/>
                <w:lang w:val="ro-RO"/>
              </w:rPr>
              <w:t xml:space="preserve">se va corela cu Declarația privind conformitatea cu regulile ajutorului de stat, din </w:t>
            </w:r>
            <w:r w:rsidR="00D15FDB" w:rsidRPr="00D15FDB">
              <w:rPr>
                <w:i/>
                <w:color w:val="FF0000"/>
                <w:lang w:val="ro-RO"/>
              </w:rPr>
              <w:t>Anexa C1.3.la Cererea de finanţare</w:t>
            </w:r>
            <w:r w:rsidR="00215756">
              <w:rPr>
                <w:i/>
                <w:color w:val="FF0000"/>
                <w:lang w:val="ro-RO"/>
              </w:rPr>
              <w:t xml:space="preserve"> şi secţiunea </w:t>
            </w:r>
            <w:r w:rsidR="00215756" w:rsidRPr="00215756">
              <w:rPr>
                <w:i/>
                <w:color w:val="FF0000"/>
                <w:lang w:val="ro-RO"/>
              </w:rPr>
              <w:t>C.2.Verificarea conformității cu normele privind ajutoarele de stat, din Cererea de Finanțare</w:t>
            </w:r>
          </w:p>
        </w:tc>
      </w:tr>
    </w:tbl>
    <w:p w:rsidR="00B81C7F" w:rsidRDefault="00B81C7F" w:rsidP="00B23684">
      <w:pPr>
        <w:shd w:val="clear" w:color="auto" w:fill="FFFFFF"/>
        <w:spacing w:after="0" w:line="240" w:lineRule="auto"/>
        <w:jc w:val="both"/>
        <w:rPr>
          <w:lang w:val="ro-RO"/>
        </w:rPr>
      </w:pPr>
    </w:p>
    <w:p w:rsidR="00B23684" w:rsidRDefault="00B23684" w:rsidP="00D329E9">
      <w:pPr>
        <w:shd w:val="clear" w:color="auto" w:fill="FFFFFF"/>
        <w:spacing w:after="0" w:line="240" w:lineRule="auto"/>
        <w:jc w:val="both"/>
        <w:rPr>
          <w:noProof/>
          <w:color w:val="FF0000"/>
          <w:lang w:val="ro-RO"/>
        </w:rPr>
      </w:pPr>
    </w:p>
    <w:p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lastRenderedPageBreak/>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 xml:space="preserve">prevăzute în Capitolul I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350"/>
      </w:tblGrid>
      <w:tr w:rsidR="007D1316" w:rsidRPr="0061296D" w:rsidTr="006F429A">
        <w:trPr>
          <w:trHeight w:val="557"/>
        </w:trPr>
        <w:tc>
          <w:tcPr>
            <w:tcW w:w="9576" w:type="dxa"/>
          </w:tcPr>
          <w:p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în corelare cu definiţia de la articolul 2, alin.130 din Regulamentul nr. 615/2016</w:t>
            </w:r>
            <w:r w:rsidR="006F596D">
              <w:rPr>
                <w:rFonts w:cstheme="minorHAnsi"/>
                <w:i/>
                <w:color w:val="FF0000"/>
                <w:szCs w:val="24"/>
                <w:lang w:val="ro-RO"/>
              </w:rPr>
              <w:t xml:space="preserve"> </w:t>
            </w:r>
          </w:p>
        </w:tc>
      </w:tr>
    </w:tbl>
    <w:p w:rsidR="00BA26D2" w:rsidRPr="006F429A" w:rsidRDefault="00BA26D2" w:rsidP="006F429A">
      <w:pPr>
        <w:shd w:val="clear" w:color="auto" w:fill="FFFFFF"/>
        <w:spacing w:after="0" w:line="240" w:lineRule="auto"/>
        <w:jc w:val="both"/>
        <w:rPr>
          <w:rFonts w:cstheme="minorHAnsi"/>
          <w:b/>
          <w:szCs w:val="24"/>
          <w:lang w:val="ro-RO"/>
        </w:rPr>
      </w:pPr>
    </w:p>
    <w:p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61296D" w:rsidTr="00B900A7">
        <w:tc>
          <w:tcPr>
            <w:tcW w:w="9576" w:type="dxa"/>
          </w:tcPr>
          <w:p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rsidR="00B900A7" w:rsidRDefault="00B900A7" w:rsidP="00D329E9">
            <w:pPr>
              <w:tabs>
                <w:tab w:val="left" w:pos="0"/>
              </w:tabs>
              <w:jc w:val="both"/>
              <w:rPr>
                <w:b/>
                <w:noProof/>
                <w:u w:val="single"/>
                <w:lang w:val="ro-RO"/>
              </w:rPr>
            </w:pPr>
          </w:p>
        </w:tc>
      </w:tr>
      <w:tr w:rsidR="00B900A7" w:rsidRPr="0061296D" w:rsidTr="00B900A7">
        <w:tc>
          <w:tcPr>
            <w:tcW w:w="9576" w:type="dxa"/>
          </w:tcPr>
          <w:p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rsidR="00733A9C" w:rsidRDefault="00733A9C" w:rsidP="00891660">
            <w:pPr>
              <w:autoSpaceDE w:val="0"/>
              <w:autoSpaceDN w:val="0"/>
              <w:adjustRightInd w:val="0"/>
              <w:rPr>
                <w:i/>
                <w:noProof/>
                <w:color w:val="FF0000"/>
                <w:lang w:val="ro-RO"/>
              </w:rPr>
            </w:pPr>
          </w:p>
          <w:p w:rsidR="00B900A7" w:rsidRDefault="00891660" w:rsidP="00891660">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Secţiunea E.1.4 la Cererea de finanţare</w:t>
            </w:r>
            <w:r>
              <w:rPr>
                <w:i/>
                <w:noProof/>
                <w:color w:val="FF0000"/>
                <w:lang w:val="ro-RO"/>
              </w:rPr>
              <w:t xml:space="preserve"> şi</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rsidR="00B900A7" w:rsidRDefault="00B900A7" w:rsidP="00D329E9">
      <w:pPr>
        <w:tabs>
          <w:tab w:val="left" w:pos="0"/>
        </w:tabs>
        <w:spacing w:after="0" w:line="240" w:lineRule="auto"/>
        <w:jc w:val="both"/>
        <w:rPr>
          <w:b/>
          <w:noProof/>
          <w:u w:val="single"/>
          <w:lang w:val="ro-RO"/>
        </w:rPr>
      </w:pPr>
    </w:p>
    <w:p w:rsidR="00445199" w:rsidRDefault="00445199" w:rsidP="00445199">
      <w:pPr>
        <w:tabs>
          <w:tab w:val="left" w:pos="0"/>
        </w:tabs>
        <w:spacing w:after="0" w:line="240" w:lineRule="auto"/>
        <w:jc w:val="both"/>
        <w:rPr>
          <w:b/>
          <w:noProof/>
          <w:u w:val="single"/>
          <w:lang w:val="ro-RO"/>
        </w:rPr>
      </w:pPr>
      <w:r>
        <w:rPr>
          <w:b/>
          <w:noProof/>
          <w:u w:val="single"/>
          <w:lang w:val="ro-RO"/>
        </w:rPr>
        <w:t xml:space="preserve">Alin. 4, </w:t>
      </w:r>
      <w:r w:rsidRPr="00486352">
        <w:rPr>
          <w:b/>
          <w:noProof/>
          <w:u w:val="single"/>
          <w:lang w:val="ro-RO"/>
        </w:rPr>
        <w:t>Art. 48. Ajutoarele pentru investiţii în infrastructura energetică</w:t>
      </w:r>
    </w:p>
    <w:p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Tr="00B900A7">
        <w:tc>
          <w:tcPr>
            <w:tcW w:w="9576" w:type="dxa"/>
          </w:tcPr>
          <w:p w:rsidR="00B900A7" w:rsidRDefault="00B900A7" w:rsidP="00445199">
            <w:pPr>
              <w:tabs>
                <w:tab w:val="left" w:pos="0"/>
              </w:tabs>
              <w:jc w:val="both"/>
              <w:rPr>
                <w:b/>
                <w:noProof/>
                <w:u w:val="single"/>
                <w:lang w:val="ro-RO"/>
              </w:rPr>
            </w:pPr>
            <w:r w:rsidRPr="00445199">
              <w:rPr>
                <w:i/>
                <w:noProof/>
                <w:lang w:val="ro-RO"/>
              </w:rPr>
              <w:t>Costurile eligibile sunt costurile de investiții</w:t>
            </w:r>
          </w:p>
        </w:tc>
      </w:tr>
      <w:tr w:rsidR="00B900A7" w:rsidRPr="005B1CB7" w:rsidTr="00B900A7">
        <w:tc>
          <w:tcPr>
            <w:tcW w:w="9576" w:type="dxa"/>
          </w:tcPr>
          <w:p w:rsidR="00B900A7" w:rsidRPr="00B900A7" w:rsidRDefault="00B900A7" w:rsidP="00830E60">
            <w:pPr>
              <w:shd w:val="clear" w:color="auto" w:fill="FFFFFF"/>
              <w:jc w:val="both"/>
              <w:rPr>
                <w:i/>
                <w:noProof/>
                <w:color w:val="FF0000"/>
                <w:lang w:val="ro-RO"/>
              </w:rPr>
            </w:pPr>
            <w:r w:rsidRPr="00B900A7">
              <w:rPr>
                <w:i/>
                <w:noProof/>
                <w:color w:val="FF0000"/>
                <w:lang w:val="ro-RO"/>
              </w:rPr>
              <w:t>Se vor prezenta cheltuielile cu infrastructura energetică din cadrul pro</w:t>
            </w:r>
            <w:r w:rsidR="00365DF4">
              <w:rPr>
                <w:i/>
                <w:noProof/>
                <w:color w:val="FF0000"/>
                <w:lang w:val="ro-RO"/>
              </w:rPr>
              <w:t>ie</w:t>
            </w:r>
            <w:r w:rsidRPr="00B900A7">
              <w:rPr>
                <w:i/>
                <w:noProof/>
                <w:color w:val="FF0000"/>
                <w:lang w:val="ro-RO"/>
              </w:rPr>
              <w:t>ctului, eligibile pe ajutorul de stat, în corelare cu secţiun</w:t>
            </w:r>
            <w:r w:rsidR="00830E60">
              <w:rPr>
                <w:i/>
                <w:noProof/>
                <w:color w:val="FF0000"/>
                <w:lang w:val="ro-RO"/>
              </w:rPr>
              <w:t>ile C şi G</w:t>
            </w:r>
            <w:r w:rsidR="006407F0">
              <w:rPr>
                <w:i/>
                <w:noProof/>
                <w:color w:val="FF0000"/>
                <w:lang w:val="ro-RO"/>
              </w:rPr>
              <w:t xml:space="preserve"> din Cererea de finanţare și cu respectarea prevederilor din Ghidul Solicitantului.</w:t>
            </w:r>
          </w:p>
        </w:tc>
      </w:tr>
    </w:tbl>
    <w:p w:rsidR="00A7533E" w:rsidRDefault="00A7533E" w:rsidP="00D329E9">
      <w:pPr>
        <w:shd w:val="clear" w:color="auto" w:fill="FFFFFF"/>
        <w:spacing w:after="0" w:line="240" w:lineRule="auto"/>
        <w:jc w:val="both"/>
        <w:rPr>
          <w:noProof/>
          <w:color w:val="FF0000"/>
          <w:lang w:val="ro-RO"/>
        </w:rPr>
      </w:pPr>
    </w:p>
    <w:p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824C5B" w:rsidTr="00824C5B">
        <w:tc>
          <w:tcPr>
            <w:tcW w:w="9576" w:type="dxa"/>
          </w:tcPr>
          <w:p w:rsidR="00824C5B" w:rsidRPr="00114BF8" w:rsidRDefault="00824C5B" w:rsidP="00824C5B">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exploatare aferent investiției. Profitul din exploatare se de</w:t>
            </w:r>
            <w:r w:rsidRPr="00114BF8">
              <w:rPr>
                <w:rFonts w:eastAsia="Times New Roman" w:cs="Times New Roman"/>
                <w:i/>
                <w:szCs w:val="24"/>
                <w:lang w:val="ro-RO"/>
              </w:rPr>
              <w:t>duce din costurile eligibile ex-ante prin analiza financiară a proiectului.</w:t>
            </w:r>
          </w:p>
          <w:p w:rsidR="00824C5B" w:rsidRPr="006407F0" w:rsidRDefault="00824C5B" w:rsidP="006407F0">
            <w:pPr>
              <w:shd w:val="clear" w:color="auto" w:fill="FFFFFF"/>
              <w:spacing w:before="100" w:beforeAutospacing="1" w:after="100" w:afterAutospacing="1"/>
              <w:jc w:val="both"/>
              <w:rPr>
                <w:rFonts w:eastAsia="Times New Roman" w:cs="Times New Roman"/>
                <w:i/>
                <w:szCs w:val="24"/>
                <w:lang w:val="ro-RO"/>
              </w:rPr>
            </w:pPr>
            <w:r w:rsidRPr="00114BF8">
              <w:rPr>
                <w:rFonts w:cs="Times New Roman"/>
                <w:b/>
                <w:bCs/>
                <w:i/>
                <w:szCs w:val="24"/>
                <w:lang w:val="ro-RO"/>
              </w:rPr>
              <w:t>Costul eligibil</w:t>
            </w:r>
            <w:r w:rsidRPr="00114BF8">
              <w:rPr>
                <w:rFonts w:cs="Times New Roman"/>
                <w:bCs/>
                <w:i/>
                <w:szCs w:val="24"/>
                <w:lang w:val="ro-RO"/>
              </w:rPr>
              <w:t xml:space="preserve"> este deficitul de finan</w:t>
            </w:r>
            <w:r w:rsidRPr="00114BF8">
              <w:rPr>
                <w:rFonts w:cs="Times New Roman" w:hint="eastAsia"/>
                <w:bCs/>
                <w:i/>
                <w:szCs w:val="24"/>
                <w:lang w:val="ro-RO"/>
              </w:rPr>
              <w:t>ţ</w:t>
            </w:r>
            <w:r w:rsidRPr="00114BF8">
              <w:rPr>
                <w:rFonts w:cs="Times New Roman"/>
                <w:bCs/>
                <w:i/>
                <w:szCs w:val="24"/>
                <w:lang w:val="ro-RO"/>
              </w:rPr>
              <w:t xml:space="preserve">are, </w:t>
            </w:r>
            <w:r w:rsidRPr="00114BF8">
              <w:rPr>
                <w:rFonts w:cs="Times New Roman" w:hint="eastAsia"/>
                <w:bCs/>
                <w:i/>
                <w:szCs w:val="24"/>
                <w:lang w:val="ro-RO"/>
              </w:rPr>
              <w:t>î</w:t>
            </w:r>
            <w:r w:rsidRPr="00114BF8">
              <w:rPr>
                <w:rFonts w:cs="Times New Roman"/>
                <w:bCs/>
                <w:i/>
                <w:szCs w:val="24"/>
                <w:lang w:val="ro-RO"/>
              </w:rPr>
              <w:t>n condi</w:t>
            </w:r>
            <w:r w:rsidRPr="00114BF8">
              <w:rPr>
                <w:rFonts w:cs="Times New Roman" w:hint="eastAsia"/>
                <w:bCs/>
                <w:i/>
                <w:szCs w:val="24"/>
                <w:lang w:val="ro-RO"/>
              </w:rPr>
              <w:t>ţ</w:t>
            </w:r>
            <w:r w:rsidRPr="00114BF8">
              <w:rPr>
                <w:rFonts w:cs="Times New Roman"/>
                <w:bCs/>
                <w:i/>
                <w:szCs w:val="24"/>
                <w:lang w:val="ro-RO"/>
              </w:rPr>
              <w:t xml:space="preserve">iile </w:t>
            </w:r>
            <w:r w:rsidRPr="00114BF8">
              <w:rPr>
                <w:rFonts w:cs="Times New Roman" w:hint="eastAsia"/>
                <w:bCs/>
                <w:i/>
                <w:szCs w:val="24"/>
                <w:lang w:val="ro-RO"/>
              </w:rPr>
              <w:t>î</w:t>
            </w:r>
            <w:r w:rsidRPr="00114BF8">
              <w:rPr>
                <w:rFonts w:cs="Times New Roman"/>
                <w:bCs/>
                <w:i/>
                <w:szCs w:val="24"/>
                <w:lang w:val="ro-RO"/>
              </w:rPr>
              <w:t>n care scenariul contrafactual este considerat a fi situa</w:t>
            </w:r>
            <w:r w:rsidRPr="00114BF8">
              <w:rPr>
                <w:rFonts w:cs="Times New Roman" w:hint="eastAsia"/>
                <w:bCs/>
                <w:i/>
                <w:szCs w:val="24"/>
                <w:lang w:val="ro-RO"/>
              </w:rPr>
              <w:t>ţ</w:t>
            </w:r>
            <w:r w:rsidRPr="00114BF8">
              <w:rPr>
                <w:rFonts w:cs="Times New Roman"/>
                <w:bCs/>
                <w:i/>
                <w:szCs w:val="24"/>
                <w:lang w:val="ro-RO"/>
              </w:rPr>
              <w:t xml:space="preserve">ia </w:t>
            </w:r>
            <w:r w:rsidRPr="00114BF8">
              <w:rPr>
                <w:rFonts w:cs="Times New Roman" w:hint="eastAsia"/>
                <w:bCs/>
                <w:i/>
                <w:szCs w:val="24"/>
                <w:lang w:val="ro-RO"/>
              </w:rPr>
              <w:t>î</w:t>
            </w:r>
            <w:r w:rsidRPr="00114BF8">
              <w:rPr>
                <w:rFonts w:cs="Times New Roman"/>
                <w:bCs/>
                <w:i/>
                <w:szCs w:val="24"/>
                <w:lang w:val="ro-RO"/>
              </w:rPr>
              <w:t>n care infrastructura energetic</w:t>
            </w:r>
            <w:r w:rsidRPr="00114BF8">
              <w:rPr>
                <w:rFonts w:cs="Times New Roman" w:hint="eastAsia"/>
                <w:bCs/>
                <w:i/>
                <w:szCs w:val="24"/>
                <w:lang w:val="ro-RO"/>
              </w:rPr>
              <w:t>ă</w:t>
            </w:r>
            <w:r w:rsidRPr="00114BF8">
              <w:rPr>
                <w:rFonts w:cs="Times New Roman"/>
                <w:bCs/>
                <w:i/>
                <w:szCs w:val="24"/>
                <w:lang w:val="ro-RO"/>
              </w:rPr>
              <w:t xml:space="preserve"> respectiv</w:t>
            </w:r>
            <w:r w:rsidRPr="00114BF8">
              <w:rPr>
                <w:rFonts w:cs="Times New Roman" w:hint="eastAsia"/>
                <w:bCs/>
                <w:i/>
                <w:szCs w:val="24"/>
                <w:lang w:val="ro-RO"/>
              </w:rPr>
              <w:t>ă</w:t>
            </w:r>
            <w:r w:rsidRPr="00114BF8">
              <w:rPr>
                <w:rFonts w:cs="Times New Roman"/>
                <w:bCs/>
                <w:i/>
                <w:szCs w:val="24"/>
                <w:lang w:val="ro-RO"/>
              </w:rPr>
              <w:t xml:space="preserve"> nu s-ar realiza.</w:t>
            </w:r>
            <w:r>
              <w:rPr>
                <w:rFonts w:cs="Times New Roman"/>
                <w:bCs/>
                <w:i/>
                <w:szCs w:val="24"/>
                <w:lang w:val="ro-RO"/>
              </w:rPr>
              <w:t xml:space="preserve"> </w:t>
            </w:r>
            <w:r w:rsidRPr="00114BF8">
              <w:rPr>
                <w:rFonts w:cs="Times New Roman"/>
                <w:bCs/>
                <w:i/>
                <w:szCs w:val="24"/>
                <w:lang w:val="ro-RO"/>
              </w:rPr>
              <w:t>Costurile eligibile se stabilesc</w:t>
            </w:r>
            <w:r>
              <w:rPr>
                <w:rFonts w:cs="Times New Roman"/>
                <w:bCs/>
                <w:i/>
                <w:szCs w:val="24"/>
                <w:lang w:val="ro-RO"/>
              </w:rPr>
              <w:t>,</w:t>
            </w:r>
            <w:r w:rsidRPr="00114BF8">
              <w:rPr>
                <w:rFonts w:cs="Times New Roman"/>
                <w:bCs/>
                <w:i/>
                <w:szCs w:val="24"/>
                <w:lang w:val="ro-RO"/>
              </w:rPr>
              <w:t xml:space="preserve"> </w:t>
            </w:r>
            <w:r w:rsidRPr="00895655">
              <w:rPr>
                <w:rFonts w:cs="Times New Roman"/>
                <w:bCs/>
                <w:i/>
                <w:szCs w:val="24"/>
                <w:lang w:val="ro-RO"/>
              </w:rPr>
              <w:t>în urma analizei cost-beneficiu,</w:t>
            </w:r>
            <w:r>
              <w:rPr>
                <w:rFonts w:cs="Times New Roman"/>
                <w:bCs/>
                <w:i/>
                <w:szCs w:val="24"/>
                <w:lang w:val="ro-RO"/>
              </w:rPr>
              <w:t xml:space="preserve"> </w:t>
            </w:r>
            <w:r w:rsidRPr="00114BF8">
              <w:rPr>
                <w:rFonts w:cs="Times New Roman"/>
                <w:bCs/>
                <w:i/>
                <w:szCs w:val="24"/>
                <w:lang w:val="ro-RO"/>
              </w:rPr>
              <w:t>prin compararea investi</w:t>
            </w:r>
            <w:r w:rsidRPr="00114BF8">
              <w:rPr>
                <w:rFonts w:cs="Times New Roman" w:hint="eastAsia"/>
                <w:bCs/>
                <w:i/>
                <w:szCs w:val="24"/>
                <w:lang w:val="ro-RO"/>
              </w:rPr>
              <w:t>ţ</w:t>
            </w:r>
            <w:r w:rsidRPr="00114BF8">
              <w:rPr>
                <w:rFonts w:cs="Times New Roman"/>
                <w:bCs/>
                <w:i/>
                <w:szCs w:val="24"/>
                <w:lang w:val="ro-RO"/>
              </w:rPr>
              <w:t>iei care beneficiaz</w:t>
            </w:r>
            <w:r w:rsidRPr="00114BF8">
              <w:rPr>
                <w:rFonts w:cs="Times New Roman" w:hint="eastAsia"/>
                <w:bCs/>
                <w:i/>
                <w:szCs w:val="24"/>
                <w:lang w:val="ro-RO"/>
              </w:rPr>
              <w:t>ă</w:t>
            </w:r>
            <w:r w:rsidRPr="00114BF8">
              <w:rPr>
                <w:rFonts w:cs="Times New Roman"/>
                <w:bCs/>
                <w:i/>
                <w:szCs w:val="24"/>
                <w:lang w:val="ro-RO"/>
              </w:rPr>
              <w:t xml:space="preserve"> de ajutor de stat cu situa</w:t>
            </w:r>
            <w:r w:rsidRPr="00114BF8">
              <w:rPr>
                <w:rFonts w:cs="Times New Roman" w:hint="eastAsia"/>
                <w:bCs/>
                <w:i/>
                <w:szCs w:val="24"/>
                <w:lang w:val="ro-RO"/>
              </w:rPr>
              <w:t>ţ</w:t>
            </w:r>
            <w:r w:rsidRPr="00114BF8">
              <w:rPr>
                <w:rFonts w:cs="Times New Roman"/>
                <w:bCs/>
                <w:i/>
                <w:szCs w:val="24"/>
                <w:lang w:val="ro-RO"/>
              </w:rPr>
              <w:t>ia contrafactual</w:t>
            </w:r>
            <w:r w:rsidRPr="00114BF8">
              <w:rPr>
                <w:rFonts w:cs="Times New Roman" w:hint="eastAsia"/>
                <w:bCs/>
                <w:i/>
                <w:szCs w:val="24"/>
                <w:lang w:val="ro-RO"/>
              </w:rPr>
              <w:t>ă</w:t>
            </w:r>
            <w:r w:rsidRPr="00114BF8">
              <w:rPr>
                <w:rFonts w:cs="Times New Roman"/>
                <w:bCs/>
                <w:i/>
                <w:szCs w:val="24"/>
                <w:lang w:val="ro-RO"/>
              </w:rPr>
              <w:t xml:space="preserve"> </w:t>
            </w:r>
            <w:r w:rsidRPr="00114BF8">
              <w:rPr>
                <w:rFonts w:cs="Times New Roman" w:hint="eastAsia"/>
                <w:bCs/>
                <w:i/>
                <w:szCs w:val="24"/>
                <w:lang w:val="ro-RO"/>
              </w:rPr>
              <w:t>î</w:t>
            </w:r>
            <w:r w:rsidRPr="00114BF8">
              <w:rPr>
                <w:rFonts w:cs="Times New Roman"/>
                <w:bCs/>
                <w:i/>
                <w:szCs w:val="24"/>
                <w:lang w:val="ro-RO"/>
              </w:rPr>
              <w:t>n care investi</w:t>
            </w:r>
            <w:r w:rsidRPr="00114BF8">
              <w:rPr>
                <w:rFonts w:cs="Times New Roman" w:hint="eastAsia"/>
                <w:bCs/>
                <w:i/>
                <w:szCs w:val="24"/>
                <w:lang w:val="ro-RO"/>
              </w:rPr>
              <w:t>ţ</w:t>
            </w:r>
            <w:r>
              <w:rPr>
                <w:rFonts w:cs="Times New Roman"/>
                <w:bCs/>
                <w:i/>
                <w:szCs w:val="24"/>
                <w:lang w:val="ro-RO"/>
              </w:rPr>
              <w:t>ia nu s-ar realiza.</w:t>
            </w:r>
          </w:p>
        </w:tc>
      </w:tr>
      <w:tr w:rsidR="00824C5B" w:rsidRPr="0061296D" w:rsidTr="00824C5B">
        <w:tc>
          <w:tcPr>
            <w:tcW w:w="9576" w:type="dxa"/>
          </w:tcPr>
          <w:p w:rsidR="00824C5B" w:rsidRPr="00824C5B" w:rsidRDefault="00824C5B" w:rsidP="00824C5B">
            <w:pPr>
              <w:shd w:val="clear" w:color="auto" w:fill="FFFFFF"/>
              <w:spacing w:before="100" w:beforeAutospacing="1" w:after="100" w:afterAutospacing="1"/>
              <w:jc w:val="both"/>
              <w:rPr>
                <w:i/>
                <w:noProof/>
                <w:color w:val="FF0000"/>
                <w:lang w:val="ro-RO"/>
              </w:rPr>
            </w:pPr>
            <w:r w:rsidRPr="00824C5B">
              <w:rPr>
                <w:i/>
                <w:noProof/>
                <w:color w:val="FF0000"/>
                <w:lang w:val="ro-RO"/>
              </w:rPr>
              <w:t xml:space="preserve">Se va demonstra că valoarea ajutorului solicitat (deficitul de finanţare), ce rezultă din analiza cost-beneficiu, nu depăşeşte diferenţa dintre costurile eligibile și profitul din exploatare aferent investiției. </w:t>
            </w:r>
          </w:p>
          <w:p w:rsidR="00824C5B" w:rsidRPr="00824C5B" w:rsidRDefault="00824C5B" w:rsidP="00824C5B">
            <w:pPr>
              <w:shd w:val="clear" w:color="auto" w:fill="FFFFFF"/>
              <w:spacing w:before="100" w:beforeAutospacing="1" w:after="100" w:afterAutospacing="1"/>
              <w:jc w:val="both"/>
              <w:rPr>
                <w:i/>
                <w:noProof/>
                <w:lang w:val="ro-RO"/>
              </w:rPr>
            </w:pPr>
            <w:r w:rsidRPr="00824C5B">
              <w:rPr>
                <w:i/>
                <w:noProof/>
                <w:color w:val="FF0000"/>
                <w:lang w:val="ro-RO"/>
              </w:rPr>
              <w:t>De asemenea, se va justifica faptul că valoarea eligibilă este deficitul de finanţare, prin compararea investiţiei care beneficiază de ajutor de stat, cu situaţia contrafactuală în care investiţia nu s-ar realiza, în corelare cu an</w:t>
            </w:r>
            <w:r w:rsidR="00895655">
              <w:rPr>
                <w:i/>
                <w:noProof/>
                <w:color w:val="FF0000"/>
                <w:lang w:val="ro-RO"/>
              </w:rPr>
              <w:t xml:space="preserve">aliza cost-beneficiu realizată (secţiunea E din Cererera de finanţare) şi secţiunile </w:t>
            </w:r>
            <w:r w:rsidR="00895655" w:rsidRPr="00895655">
              <w:rPr>
                <w:i/>
                <w:noProof/>
                <w:color w:val="FF0000"/>
                <w:lang w:val="ro-RO"/>
              </w:rPr>
              <w:t>C şi G din Cererea de finanţare</w:t>
            </w:r>
          </w:p>
        </w:tc>
      </w:tr>
    </w:tbl>
    <w:p w:rsidR="008F7BA4" w:rsidRDefault="008F7BA4" w:rsidP="008F7BA4">
      <w:pPr>
        <w:shd w:val="clear" w:color="auto" w:fill="FFFFFF"/>
        <w:spacing w:after="0" w:line="240" w:lineRule="auto"/>
        <w:jc w:val="both"/>
        <w:rPr>
          <w:b/>
          <w:i/>
          <w:noProof/>
          <w:lang w:val="ro-RO"/>
        </w:rPr>
      </w:pPr>
    </w:p>
    <w:p w:rsidR="00B1772C" w:rsidRPr="006222DB" w:rsidRDefault="008F7BA4" w:rsidP="008F7BA4">
      <w:pPr>
        <w:shd w:val="clear" w:color="auto" w:fill="FFFFFF"/>
        <w:spacing w:after="0" w:line="240" w:lineRule="auto"/>
        <w:jc w:val="both"/>
        <w:rPr>
          <w:b/>
          <w:i/>
          <w:noProof/>
          <w:szCs w:val="24"/>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rsidR="00D329E9" w:rsidRDefault="00D329E9" w:rsidP="00D329E9">
      <w:pPr>
        <w:shd w:val="clear" w:color="auto" w:fill="FFFFFF"/>
        <w:spacing w:before="100" w:beforeAutospacing="1" w:after="100" w:afterAutospacing="1" w:line="240" w:lineRule="auto"/>
        <w:jc w:val="both"/>
        <w:rPr>
          <w:noProof/>
          <w:lang w:val="ro-RO"/>
        </w:rPr>
      </w:pPr>
    </w:p>
    <w:p w:rsidR="004B69E6" w:rsidRDefault="004B69E6" w:rsidP="00D329E9">
      <w:pPr>
        <w:shd w:val="clear" w:color="auto" w:fill="FFFFFF"/>
        <w:spacing w:before="100" w:beforeAutospacing="1" w:after="100" w:afterAutospacing="1" w:line="240" w:lineRule="auto"/>
        <w:jc w:val="both"/>
        <w:rPr>
          <w:noProof/>
          <w:lang w:val="ro-RO"/>
        </w:rPr>
      </w:pPr>
    </w:p>
    <w:p w:rsidR="004B69E6" w:rsidRPr="00CE2728" w:rsidRDefault="00CE2728" w:rsidP="00CE2728">
      <w:pPr>
        <w:shd w:val="clear" w:color="auto" w:fill="FFFFFF"/>
        <w:ind w:left="360"/>
        <w:jc w:val="center"/>
        <w:rPr>
          <w:rFonts w:eastAsia="Calibri" w:cs="Times New Roman"/>
          <w:b/>
          <w:noProof/>
        </w:rPr>
      </w:pPr>
      <w:r>
        <w:rPr>
          <w:rFonts w:eastAsia="Calibri" w:cs="Times New Roman"/>
          <w:b/>
          <w:noProof/>
        </w:rPr>
        <w:t>II.</w:t>
      </w:r>
      <w:r w:rsidR="004B69E6" w:rsidRPr="00CE2728">
        <w:rPr>
          <w:rFonts w:eastAsia="Calibri" w:cs="Times New Roman"/>
          <w:b/>
          <w:noProof/>
        </w:rPr>
        <w:t xml:space="preserve"> Conformitatea cu punctul 2 din Grila analitica pentru infrastructura energetică privind monopolul natural</w:t>
      </w:r>
    </w:p>
    <w:p w:rsidR="004B69E6" w:rsidRDefault="005B5C7B" w:rsidP="004B69E6">
      <w:pPr>
        <w:ind w:right="244"/>
        <w:jc w:val="both"/>
        <w:rPr>
          <w:rFonts w:cstheme="minorHAnsi"/>
        </w:rPr>
      </w:pPr>
      <w:r>
        <w:rPr>
          <w:rFonts w:cstheme="minorHAnsi"/>
        </w:rPr>
        <w:t xml:space="preserve">                                                   </w:t>
      </w:r>
      <w:r w:rsidRPr="005B5C7B">
        <w:rPr>
          <w:rFonts w:cstheme="minorHAnsi"/>
        </w:rPr>
        <w:t>(</w:t>
      </w:r>
      <w:proofErr w:type="spellStart"/>
      <w:proofErr w:type="gramStart"/>
      <w:r w:rsidRPr="005B5C7B">
        <w:rPr>
          <w:rFonts w:cstheme="minorHAnsi"/>
          <w:i/>
        </w:rPr>
        <w:t>pentru</w:t>
      </w:r>
      <w:proofErr w:type="spellEnd"/>
      <w:proofErr w:type="gramEnd"/>
      <w:r w:rsidRPr="005B5C7B">
        <w:rPr>
          <w:rFonts w:cstheme="minorHAnsi"/>
          <w:i/>
        </w:rPr>
        <w:t xml:space="preserve"> </w:t>
      </w:r>
      <w:proofErr w:type="spellStart"/>
      <w:r w:rsidRPr="005B5C7B">
        <w:rPr>
          <w:rFonts w:cstheme="minorHAnsi"/>
          <w:i/>
        </w:rPr>
        <w:t>proiectele</w:t>
      </w:r>
      <w:proofErr w:type="spellEnd"/>
      <w:r w:rsidRPr="005B5C7B">
        <w:rPr>
          <w:rFonts w:cstheme="minorHAnsi"/>
          <w:i/>
        </w:rPr>
        <w:t xml:space="preserve"> din </w:t>
      </w:r>
      <w:proofErr w:type="spellStart"/>
      <w:r w:rsidRPr="005B5C7B">
        <w:rPr>
          <w:rFonts w:cstheme="minorHAnsi"/>
          <w:i/>
        </w:rPr>
        <w:t>cadrul</w:t>
      </w:r>
      <w:proofErr w:type="spellEnd"/>
      <w:r w:rsidRPr="005B5C7B">
        <w:rPr>
          <w:rFonts w:cstheme="minorHAnsi"/>
          <w:i/>
        </w:rPr>
        <w:t xml:space="preserve"> OS 8.1)</w:t>
      </w:r>
    </w:p>
    <w:p w:rsidR="004B69E6" w:rsidRDefault="004B69E6" w:rsidP="004B69E6">
      <w:pPr>
        <w:ind w:left="1710" w:right="244"/>
        <w:jc w:val="both"/>
        <w:rPr>
          <w:rFonts w:cstheme="minorHAnsi"/>
        </w:rPr>
      </w:pPr>
    </w:p>
    <w:p w:rsidR="004B69E6" w:rsidRPr="004B69E6" w:rsidRDefault="004B69E6" w:rsidP="004B69E6">
      <w:pPr>
        <w:widowControl w:val="0"/>
        <w:jc w:val="both"/>
      </w:pPr>
      <w:proofErr w:type="spellStart"/>
      <w:r>
        <w:t>Beneficiarul</w:t>
      </w:r>
      <w:proofErr w:type="spellEnd"/>
      <w:r>
        <w:t xml:space="preserve"> </w:t>
      </w:r>
      <w:proofErr w:type="spellStart"/>
      <w:r>
        <w:t>va</w:t>
      </w:r>
      <w:proofErr w:type="spellEnd"/>
      <w:r>
        <w:t xml:space="preserve"> </w:t>
      </w:r>
      <w:proofErr w:type="spellStart"/>
      <w:r>
        <w:t>justifica</w:t>
      </w:r>
      <w:proofErr w:type="spellEnd"/>
      <w:r>
        <w:t xml:space="preserve"> </w:t>
      </w:r>
      <w:proofErr w:type="spellStart"/>
      <w:r>
        <w:t>îndeplinirea</w:t>
      </w:r>
      <w:proofErr w:type="spellEnd"/>
      <w:r>
        <w:t xml:space="preserve"> </w:t>
      </w:r>
      <w:proofErr w:type="spellStart"/>
      <w:r>
        <w:t>cumulativă</w:t>
      </w:r>
      <w:proofErr w:type="spellEnd"/>
      <w:r>
        <w:t xml:space="preserve"> a </w:t>
      </w:r>
      <w:proofErr w:type="spellStart"/>
      <w:r>
        <w:t>următoarelor</w:t>
      </w:r>
      <w:proofErr w:type="spellEnd"/>
      <w:r>
        <w:t xml:space="preserve"> </w:t>
      </w:r>
      <w:proofErr w:type="spellStart"/>
      <w:r>
        <w:t>condiții</w:t>
      </w:r>
      <w:proofErr w:type="spellEnd"/>
      <w:r>
        <w:t xml:space="preserve"> </w:t>
      </w:r>
      <w:proofErr w:type="spellStart"/>
      <w:r>
        <w:t>precizate</w:t>
      </w:r>
      <w:proofErr w:type="spellEnd"/>
      <w:r>
        <w:t xml:space="preserve"> la </w:t>
      </w:r>
      <w:proofErr w:type="spellStart"/>
      <w:r>
        <w:t>punctul</w:t>
      </w:r>
      <w:proofErr w:type="spellEnd"/>
      <w:r>
        <w:t xml:space="preserve"> 2 din </w:t>
      </w:r>
      <w:proofErr w:type="spellStart"/>
      <w:r w:rsidRPr="00CF5D06">
        <w:rPr>
          <w:i/>
        </w:rPr>
        <w:t>Grila</w:t>
      </w:r>
      <w:proofErr w:type="spellEnd"/>
      <w:r w:rsidRPr="00CF5D06">
        <w:rPr>
          <w:i/>
        </w:rPr>
        <w:t xml:space="preserve"> </w:t>
      </w:r>
      <w:proofErr w:type="spellStart"/>
      <w:r w:rsidRPr="00CF5D06">
        <w:rPr>
          <w:i/>
        </w:rPr>
        <w:t>analitica</w:t>
      </w:r>
      <w:proofErr w:type="spellEnd"/>
      <w:r w:rsidRPr="00CF5D06">
        <w:rPr>
          <w:i/>
        </w:rPr>
        <w:t xml:space="preserve"> </w:t>
      </w:r>
      <w:proofErr w:type="spellStart"/>
      <w:r w:rsidRPr="00CF5D06">
        <w:rPr>
          <w:i/>
        </w:rPr>
        <w:t>pentru</w:t>
      </w:r>
      <w:proofErr w:type="spellEnd"/>
      <w:r w:rsidRPr="00CF5D06">
        <w:rPr>
          <w:i/>
        </w:rPr>
        <w:t xml:space="preserve"> </w:t>
      </w:r>
      <w:proofErr w:type="spellStart"/>
      <w:r w:rsidRPr="00CF5D06">
        <w:rPr>
          <w:i/>
        </w:rPr>
        <w:t>infrastructura</w:t>
      </w:r>
      <w:proofErr w:type="spellEnd"/>
      <w:r w:rsidRPr="00CF5D06">
        <w:rPr>
          <w:i/>
        </w:rPr>
        <w:t xml:space="preserve"> </w:t>
      </w:r>
      <w:proofErr w:type="spellStart"/>
      <w:r w:rsidRPr="00CF5D06">
        <w:rPr>
          <w:i/>
        </w:rPr>
        <w:t>energetică</w:t>
      </w:r>
      <w:proofErr w:type="spellEnd"/>
      <w:r w:rsidR="00754D6F">
        <w:rPr>
          <w:rStyle w:val="FootnoteReference"/>
          <w:i/>
        </w:rPr>
        <w:footnoteReference w:id="2"/>
      </w:r>
      <w:r>
        <w:t xml:space="preserve"> </w:t>
      </w:r>
      <w:proofErr w:type="spellStart"/>
      <w:r>
        <w:t>pentru</w:t>
      </w:r>
      <w:proofErr w:type="spellEnd"/>
      <w:r>
        <w:t xml:space="preserve"> ca </w:t>
      </w:r>
      <w:proofErr w:type="spellStart"/>
      <w:r>
        <w:t>infrastructura</w:t>
      </w:r>
      <w:proofErr w:type="spellEnd"/>
      <w:r>
        <w:t xml:space="preserve"> </w:t>
      </w:r>
      <w:proofErr w:type="spellStart"/>
      <w:r>
        <w:t>propusă</w:t>
      </w:r>
      <w:proofErr w:type="spellEnd"/>
      <w:r>
        <w:t xml:space="preserve"> </w:t>
      </w:r>
      <w:proofErr w:type="spellStart"/>
      <w:r>
        <w:t>spre</w:t>
      </w:r>
      <w:proofErr w:type="spellEnd"/>
      <w:r>
        <w:t xml:space="preserve"> </w:t>
      </w:r>
      <w:proofErr w:type="spellStart"/>
      <w:r>
        <w:t>finanțare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Axei</w:t>
      </w:r>
      <w:proofErr w:type="spellEnd"/>
      <w:r>
        <w:t xml:space="preserve"> </w:t>
      </w:r>
      <w:proofErr w:type="spellStart"/>
      <w:r>
        <w:t>prioritare</w:t>
      </w:r>
      <w:proofErr w:type="spellEnd"/>
      <w:r>
        <w:t xml:space="preserve"> 8, </w:t>
      </w:r>
      <w:proofErr w:type="spellStart"/>
      <w:r>
        <w:t>Obiectivul</w:t>
      </w:r>
      <w:proofErr w:type="spellEnd"/>
      <w:r>
        <w:t xml:space="preserve"> specific 8.1 din </w:t>
      </w:r>
      <w:proofErr w:type="spellStart"/>
      <w:r>
        <w:t>cadrul</w:t>
      </w:r>
      <w:proofErr w:type="spellEnd"/>
      <w:r>
        <w:t xml:space="preserve"> </w:t>
      </w:r>
      <w:proofErr w:type="spellStart"/>
      <w:r>
        <w:t>Programului</w:t>
      </w:r>
      <w:proofErr w:type="spellEnd"/>
      <w:r>
        <w:t xml:space="preserve"> </w:t>
      </w:r>
      <w:proofErr w:type="spellStart"/>
      <w:r>
        <w:t>Operațional</w:t>
      </w:r>
      <w:proofErr w:type="spellEnd"/>
      <w:r>
        <w:t xml:space="preserve"> </w:t>
      </w:r>
      <w:proofErr w:type="spellStart"/>
      <w:r>
        <w:t>Infrastructură</w:t>
      </w:r>
      <w:proofErr w:type="spellEnd"/>
      <w:r>
        <w:t xml:space="preserve"> Mare </w:t>
      </w:r>
      <w:proofErr w:type="spellStart"/>
      <w:r>
        <w:t>să</w:t>
      </w:r>
      <w:proofErr w:type="spellEnd"/>
      <w:r>
        <w:t xml:space="preserve"> fie </w:t>
      </w:r>
      <w:proofErr w:type="spellStart"/>
      <w:r>
        <w:t>monopol</w:t>
      </w:r>
      <w:proofErr w:type="spellEnd"/>
      <w:r>
        <w:t xml:space="preserve"> natural:</w:t>
      </w:r>
    </w:p>
    <w:p w:rsidR="004B69E6" w:rsidRPr="0057256C" w:rsidRDefault="004B69E6" w:rsidP="004B69E6">
      <w:pPr>
        <w:pStyle w:val="ListParagraph"/>
        <w:numPr>
          <w:ilvl w:val="0"/>
          <w:numId w:val="7"/>
        </w:numPr>
        <w:shd w:val="clear" w:color="auto" w:fill="auto"/>
        <w:spacing w:after="0" w:line="240" w:lineRule="auto"/>
        <w:ind w:left="540" w:right="244" w:hanging="270"/>
        <w:jc w:val="both"/>
        <w:rPr>
          <w:rFonts w:cstheme="minorHAnsi"/>
          <w:i/>
        </w:rPr>
      </w:pPr>
      <w:proofErr w:type="spellStart"/>
      <w:r w:rsidRPr="0057256C">
        <w:rPr>
          <w:rFonts w:cstheme="minorHAnsi"/>
          <w:i/>
        </w:rPr>
        <w:t>infrastructura</w:t>
      </w:r>
      <w:proofErr w:type="spellEnd"/>
      <w:r w:rsidRPr="0057256C">
        <w:rPr>
          <w:rFonts w:cstheme="minorHAnsi"/>
          <w:i/>
        </w:rPr>
        <w:t xml:space="preserve"> nu se </w:t>
      </w:r>
      <w:proofErr w:type="spellStart"/>
      <w:r w:rsidRPr="0057256C">
        <w:rPr>
          <w:rFonts w:cstheme="minorHAnsi"/>
          <w:i/>
        </w:rPr>
        <w:t>confruntă</w:t>
      </w:r>
      <w:proofErr w:type="spellEnd"/>
      <w:r w:rsidRPr="0057256C">
        <w:rPr>
          <w:rFonts w:cstheme="minorHAnsi"/>
          <w:i/>
        </w:rPr>
        <w:t xml:space="preserve"> cu o </w:t>
      </w:r>
      <w:proofErr w:type="spellStart"/>
      <w:r w:rsidRPr="0057256C">
        <w:rPr>
          <w:rFonts w:cstheme="minorHAnsi"/>
          <w:i/>
        </w:rPr>
        <w:t>concurență</w:t>
      </w:r>
      <w:proofErr w:type="spellEnd"/>
      <w:r w:rsidRPr="0057256C">
        <w:rPr>
          <w:rFonts w:cstheme="minorHAnsi"/>
          <w:i/>
        </w:rPr>
        <w:t xml:space="preserve"> </w:t>
      </w:r>
      <w:proofErr w:type="spellStart"/>
      <w:r w:rsidRPr="0057256C">
        <w:rPr>
          <w:rFonts w:cstheme="minorHAnsi"/>
          <w:i/>
        </w:rPr>
        <w:t>directă</w:t>
      </w:r>
      <w:proofErr w:type="spellEnd"/>
      <w:r w:rsidRPr="0057256C">
        <w:rPr>
          <w:rFonts w:cstheme="minorHAnsi"/>
          <w:i/>
        </w:rPr>
        <w:t xml:space="preserve">, </w:t>
      </w:r>
      <w:proofErr w:type="spellStart"/>
      <w:r w:rsidRPr="0057256C">
        <w:rPr>
          <w:rFonts w:cstheme="minorHAnsi"/>
          <w:i/>
        </w:rPr>
        <w:t>respectiv</w:t>
      </w:r>
      <w:proofErr w:type="spellEnd"/>
      <w:r w:rsidRPr="0057256C">
        <w:rPr>
          <w:rFonts w:cstheme="minorHAnsi"/>
          <w:i/>
        </w:rPr>
        <w:t xml:space="preserve"> </w:t>
      </w:r>
      <w:proofErr w:type="spellStart"/>
      <w:r w:rsidRPr="0057256C">
        <w:rPr>
          <w:rFonts w:cstheme="minorHAnsi"/>
          <w:i/>
        </w:rPr>
        <w:t>rețeaua</w:t>
      </w:r>
      <w:proofErr w:type="spellEnd"/>
      <w:r w:rsidRPr="0057256C">
        <w:rPr>
          <w:rFonts w:cstheme="minorHAnsi"/>
          <w:i/>
        </w:rPr>
        <w:t xml:space="preserve"> nu </w:t>
      </w:r>
      <w:proofErr w:type="spellStart"/>
      <w:r w:rsidRPr="0057256C">
        <w:rPr>
          <w:rFonts w:cstheme="minorHAnsi"/>
          <w:i/>
        </w:rPr>
        <w:t>poate</w:t>
      </w:r>
      <w:proofErr w:type="spellEnd"/>
      <w:r w:rsidRPr="0057256C">
        <w:rPr>
          <w:rFonts w:cstheme="minorHAnsi"/>
          <w:i/>
        </w:rPr>
        <w:t xml:space="preserve"> fi </w:t>
      </w:r>
      <w:proofErr w:type="spellStart"/>
      <w:r w:rsidRPr="0057256C">
        <w:rPr>
          <w:rFonts w:cstheme="minorHAnsi"/>
          <w:i/>
        </w:rPr>
        <w:t>replicată</w:t>
      </w:r>
      <w:proofErr w:type="spellEnd"/>
      <w:r w:rsidRPr="0057256C">
        <w:rPr>
          <w:rFonts w:cstheme="minorHAnsi"/>
          <w:i/>
        </w:rPr>
        <w:t xml:space="preserve"> din motive </w:t>
      </w:r>
      <w:proofErr w:type="spellStart"/>
      <w:r w:rsidRPr="0057256C">
        <w:rPr>
          <w:rFonts w:cstheme="minorHAnsi"/>
          <w:i/>
        </w:rPr>
        <w:t>economice</w:t>
      </w:r>
      <w:proofErr w:type="spellEnd"/>
      <w:r w:rsidRPr="0057256C">
        <w:rPr>
          <w:rFonts w:cstheme="minorHAnsi"/>
          <w:i/>
        </w:rPr>
        <w:t xml:space="preserve"> </w:t>
      </w:r>
      <w:proofErr w:type="spellStart"/>
      <w:r w:rsidRPr="0057256C">
        <w:rPr>
          <w:rFonts w:cstheme="minorHAnsi"/>
          <w:i/>
        </w:rPr>
        <w:t>și</w:t>
      </w:r>
      <w:proofErr w:type="spellEnd"/>
      <w:r w:rsidRPr="0057256C">
        <w:rPr>
          <w:rFonts w:cstheme="minorHAnsi"/>
          <w:i/>
        </w:rPr>
        <w:t xml:space="preserve">, </w:t>
      </w:r>
      <w:proofErr w:type="spellStart"/>
      <w:r w:rsidRPr="0057256C">
        <w:rPr>
          <w:rFonts w:cstheme="minorHAnsi"/>
          <w:i/>
        </w:rPr>
        <w:t>prin</w:t>
      </w:r>
      <w:proofErr w:type="spellEnd"/>
      <w:r w:rsidRPr="0057256C">
        <w:rPr>
          <w:rFonts w:cstheme="minorHAnsi"/>
          <w:i/>
        </w:rPr>
        <w:t xml:space="preserve"> </w:t>
      </w:r>
      <w:proofErr w:type="spellStart"/>
      <w:r w:rsidRPr="0057256C">
        <w:rPr>
          <w:rFonts w:cstheme="minorHAnsi"/>
          <w:i/>
        </w:rPr>
        <w:t>urmare</w:t>
      </w:r>
      <w:proofErr w:type="spellEnd"/>
      <w:r w:rsidRPr="0057256C">
        <w:rPr>
          <w:rFonts w:cstheme="minorHAnsi"/>
          <w:i/>
        </w:rPr>
        <w:t xml:space="preserve">, nu </w:t>
      </w:r>
      <w:proofErr w:type="spellStart"/>
      <w:r w:rsidRPr="0057256C">
        <w:rPr>
          <w:rFonts w:cstheme="minorHAnsi"/>
          <w:i/>
        </w:rPr>
        <w:t>sunt</w:t>
      </w:r>
      <w:proofErr w:type="spellEnd"/>
      <w:r w:rsidRPr="0057256C">
        <w:rPr>
          <w:rFonts w:cstheme="minorHAnsi"/>
          <w:i/>
        </w:rPr>
        <w:t xml:space="preserve"> </w:t>
      </w:r>
      <w:proofErr w:type="spellStart"/>
      <w:r w:rsidRPr="0057256C">
        <w:rPr>
          <w:rFonts w:cstheme="minorHAnsi"/>
          <w:i/>
        </w:rPr>
        <w:t>implicați</w:t>
      </w:r>
      <w:proofErr w:type="spellEnd"/>
      <w:r w:rsidRPr="0057256C">
        <w:rPr>
          <w:rFonts w:cstheme="minorHAnsi"/>
          <w:i/>
        </w:rPr>
        <w:t xml:space="preserve"> </w:t>
      </w:r>
      <w:proofErr w:type="spellStart"/>
      <w:r w:rsidRPr="0057256C">
        <w:rPr>
          <w:rFonts w:cstheme="minorHAnsi"/>
          <w:i/>
        </w:rPr>
        <w:t>alți</w:t>
      </w:r>
      <w:proofErr w:type="spellEnd"/>
      <w:r w:rsidRPr="0057256C">
        <w:rPr>
          <w:rFonts w:cstheme="minorHAnsi"/>
          <w:i/>
        </w:rPr>
        <w:t xml:space="preserve"> </w:t>
      </w:r>
      <w:proofErr w:type="spellStart"/>
      <w:r w:rsidRPr="0057256C">
        <w:rPr>
          <w:rFonts w:cstheme="minorHAnsi"/>
          <w:i/>
        </w:rPr>
        <w:t>operatori</w:t>
      </w:r>
      <w:proofErr w:type="spellEnd"/>
      <w:r w:rsidRPr="0057256C">
        <w:rPr>
          <w:rFonts w:cstheme="minorHAnsi"/>
          <w:i/>
        </w:rPr>
        <w:t xml:space="preserve"> </w:t>
      </w:r>
      <w:proofErr w:type="spellStart"/>
      <w:r w:rsidRPr="0057256C">
        <w:rPr>
          <w:rFonts w:cstheme="minorHAnsi"/>
          <w:i/>
        </w:rPr>
        <w:t>decât</w:t>
      </w:r>
      <w:proofErr w:type="spellEnd"/>
      <w:r w:rsidRPr="0057256C">
        <w:rPr>
          <w:rFonts w:cstheme="minorHAnsi"/>
          <w:i/>
        </w:rPr>
        <w:t xml:space="preserve"> OTS;</w:t>
      </w:r>
    </w:p>
    <w:p w:rsidR="004B69E6" w:rsidRPr="007E3EAE" w:rsidRDefault="004B69E6" w:rsidP="004B69E6">
      <w:pPr>
        <w:pStyle w:val="ListParagraph"/>
        <w:ind w:left="540" w:right="244" w:hanging="270"/>
        <w:jc w:val="both"/>
        <w:rPr>
          <w:rFonts w:cstheme="minorHAnsi"/>
          <w:i/>
          <w:sz w:val="8"/>
          <w:szCs w:val="8"/>
        </w:rPr>
      </w:pPr>
    </w:p>
    <w:p w:rsidR="004B69E6" w:rsidRPr="0057256C" w:rsidRDefault="004B69E6" w:rsidP="004B69E6">
      <w:pPr>
        <w:pStyle w:val="ListParagraph"/>
        <w:numPr>
          <w:ilvl w:val="0"/>
          <w:numId w:val="7"/>
        </w:numPr>
        <w:shd w:val="clear" w:color="auto" w:fill="auto"/>
        <w:spacing w:after="0" w:line="240" w:lineRule="auto"/>
        <w:ind w:left="540" w:right="244" w:hanging="270"/>
        <w:jc w:val="both"/>
        <w:rPr>
          <w:rFonts w:cstheme="minorHAnsi"/>
          <w:i/>
        </w:rPr>
      </w:pPr>
      <w:proofErr w:type="spellStart"/>
      <w:r w:rsidRPr="0057256C">
        <w:rPr>
          <w:rFonts w:cstheme="minorHAnsi"/>
          <w:i/>
        </w:rPr>
        <w:t>finanțarea</w:t>
      </w:r>
      <w:proofErr w:type="spellEnd"/>
      <w:r w:rsidRPr="0057256C">
        <w:rPr>
          <w:rFonts w:cstheme="minorHAnsi"/>
          <w:i/>
        </w:rPr>
        <w:t xml:space="preserve"> </w:t>
      </w:r>
      <w:proofErr w:type="spellStart"/>
      <w:r w:rsidRPr="0057256C">
        <w:rPr>
          <w:rFonts w:cstheme="minorHAnsi"/>
          <w:i/>
        </w:rPr>
        <w:t>alternativă</w:t>
      </w:r>
      <w:proofErr w:type="spellEnd"/>
      <w:r w:rsidRPr="0057256C">
        <w:rPr>
          <w:rFonts w:cstheme="minorHAnsi"/>
          <w:i/>
        </w:rPr>
        <w:t xml:space="preserve"> a </w:t>
      </w:r>
      <w:proofErr w:type="spellStart"/>
      <w:r w:rsidRPr="0057256C">
        <w:rPr>
          <w:rFonts w:cstheme="minorHAnsi"/>
          <w:i/>
        </w:rPr>
        <w:t>infrastructurii</w:t>
      </w:r>
      <w:proofErr w:type="spellEnd"/>
      <w:r w:rsidRPr="0057256C">
        <w:rPr>
          <w:rFonts w:cstheme="minorHAnsi"/>
          <w:i/>
        </w:rPr>
        <w:t xml:space="preserve">, </w:t>
      </w:r>
      <w:proofErr w:type="spellStart"/>
      <w:r w:rsidRPr="0057256C">
        <w:rPr>
          <w:rFonts w:cstheme="minorHAnsi"/>
          <w:i/>
        </w:rPr>
        <w:t>pe</w:t>
      </w:r>
      <w:proofErr w:type="spellEnd"/>
      <w:r w:rsidRPr="0057256C">
        <w:rPr>
          <w:rFonts w:cstheme="minorHAnsi"/>
          <w:i/>
        </w:rPr>
        <w:t xml:space="preserve"> </w:t>
      </w:r>
      <w:proofErr w:type="spellStart"/>
      <w:r w:rsidRPr="0057256C">
        <w:rPr>
          <w:rFonts w:cstheme="minorHAnsi"/>
          <w:i/>
        </w:rPr>
        <w:t>lângă</w:t>
      </w:r>
      <w:proofErr w:type="spellEnd"/>
      <w:r w:rsidRPr="0057256C">
        <w:rPr>
          <w:rFonts w:cstheme="minorHAnsi"/>
          <w:i/>
        </w:rPr>
        <w:t xml:space="preserve"> </w:t>
      </w:r>
      <w:proofErr w:type="spellStart"/>
      <w:r w:rsidRPr="0057256C">
        <w:rPr>
          <w:rFonts w:cstheme="minorHAnsi"/>
          <w:i/>
        </w:rPr>
        <w:t>finanțarea</w:t>
      </w:r>
      <w:proofErr w:type="spellEnd"/>
      <w:r w:rsidRPr="0057256C">
        <w:rPr>
          <w:rFonts w:cstheme="minorHAnsi"/>
          <w:i/>
        </w:rPr>
        <w:t xml:space="preserve"> OTS, </w:t>
      </w:r>
      <w:proofErr w:type="spellStart"/>
      <w:r w:rsidRPr="0057256C">
        <w:rPr>
          <w:rFonts w:cstheme="minorHAnsi"/>
          <w:i/>
        </w:rPr>
        <w:t>este</w:t>
      </w:r>
      <w:proofErr w:type="spellEnd"/>
      <w:r w:rsidRPr="0057256C">
        <w:rPr>
          <w:rFonts w:cstheme="minorHAnsi"/>
          <w:i/>
        </w:rPr>
        <w:t xml:space="preserve"> </w:t>
      </w:r>
      <w:proofErr w:type="spellStart"/>
      <w:r w:rsidRPr="0057256C">
        <w:rPr>
          <w:rFonts w:cstheme="minorHAnsi"/>
          <w:i/>
        </w:rPr>
        <w:t>nesemnificativă</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sectorul</w:t>
      </w:r>
      <w:proofErr w:type="spellEnd"/>
      <w:r w:rsidRPr="0057256C">
        <w:rPr>
          <w:rFonts w:cstheme="minorHAnsi"/>
          <w:i/>
        </w:rPr>
        <w:t xml:space="preserve"> </w:t>
      </w:r>
      <w:proofErr w:type="spellStart"/>
      <w:r w:rsidRPr="0057256C">
        <w:rPr>
          <w:rFonts w:cstheme="minorHAnsi"/>
          <w:i/>
        </w:rPr>
        <w:t>și</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statul</w:t>
      </w:r>
      <w:proofErr w:type="spellEnd"/>
      <w:r w:rsidRPr="0057256C">
        <w:rPr>
          <w:rFonts w:cstheme="minorHAnsi"/>
          <w:i/>
        </w:rPr>
        <w:t xml:space="preserve"> </w:t>
      </w:r>
      <w:proofErr w:type="spellStart"/>
      <w:r w:rsidRPr="0057256C">
        <w:rPr>
          <w:rFonts w:cstheme="minorHAnsi"/>
          <w:i/>
        </w:rPr>
        <w:t>membru</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cauză</w:t>
      </w:r>
      <w:proofErr w:type="spellEnd"/>
      <w:r w:rsidRPr="0057256C">
        <w:rPr>
          <w:rFonts w:cstheme="minorHAnsi"/>
          <w:i/>
        </w:rPr>
        <w:t>;</w:t>
      </w:r>
    </w:p>
    <w:p w:rsidR="004B69E6" w:rsidRPr="007E3EAE" w:rsidRDefault="004B69E6" w:rsidP="004B69E6">
      <w:pPr>
        <w:pStyle w:val="ListParagraph"/>
        <w:ind w:left="540" w:hanging="270"/>
        <w:rPr>
          <w:rFonts w:cstheme="minorHAnsi"/>
          <w:i/>
          <w:sz w:val="8"/>
          <w:szCs w:val="8"/>
        </w:rPr>
      </w:pPr>
    </w:p>
    <w:p w:rsidR="004B69E6" w:rsidRPr="00872354" w:rsidRDefault="004B69E6" w:rsidP="004B69E6">
      <w:pPr>
        <w:pStyle w:val="ListParagraph"/>
        <w:numPr>
          <w:ilvl w:val="0"/>
          <w:numId w:val="7"/>
        </w:numPr>
        <w:shd w:val="clear" w:color="auto" w:fill="auto"/>
        <w:spacing w:after="0" w:line="240" w:lineRule="auto"/>
        <w:ind w:left="540" w:right="244" w:hanging="270"/>
        <w:jc w:val="both"/>
        <w:rPr>
          <w:rFonts w:cstheme="minorHAnsi"/>
          <w:i/>
        </w:rPr>
      </w:pPr>
      <w:proofErr w:type="spellStart"/>
      <w:r w:rsidRPr="0057256C">
        <w:rPr>
          <w:rFonts w:cstheme="minorHAnsi"/>
          <w:i/>
        </w:rPr>
        <w:t>infrastructura</w:t>
      </w:r>
      <w:proofErr w:type="spellEnd"/>
      <w:r w:rsidRPr="0057256C">
        <w:rPr>
          <w:rFonts w:cstheme="minorHAnsi"/>
          <w:i/>
        </w:rPr>
        <w:t xml:space="preserve"> nu </w:t>
      </w:r>
      <w:proofErr w:type="spellStart"/>
      <w:r w:rsidRPr="0057256C">
        <w:rPr>
          <w:rFonts w:cstheme="minorHAnsi"/>
          <w:i/>
        </w:rPr>
        <w:t>este</w:t>
      </w:r>
      <w:proofErr w:type="spellEnd"/>
      <w:r w:rsidRPr="0057256C">
        <w:rPr>
          <w:rFonts w:cstheme="minorHAnsi"/>
          <w:i/>
        </w:rPr>
        <w:t xml:space="preserve"> </w:t>
      </w:r>
      <w:proofErr w:type="spellStart"/>
      <w:r w:rsidRPr="0057256C">
        <w:rPr>
          <w:rFonts w:cstheme="minorHAnsi"/>
          <w:i/>
        </w:rPr>
        <w:t>concepută</w:t>
      </w:r>
      <w:proofErr w:type="spellEnd"/>
      <w:r w:rsidRPr="0057256C">
        <w:rPr>
          <w:rFonts w:cstheme="minorHAnsi"/>
          <w:i/>
        </w:rPr>
        <w:t xml:space="preserve"> </w:t>
      </w:r>
      <w:proofErr w:type="spellStart"/>
      <w:r w:rsidRPr="0057256C">
        <w:rPr>
          <w:rFonts w:cstheme="minorHAnsi"/>
          <w:i/>
        </w:rPr>
        <w:t>pentru</w:t>
      </w:r>
      <w:proofErr w:type="spellEnd"/>
      <w:r w:rsidRPr="0057256C">
        <w:rPr>
          <w:rFonts w:cstheme="minorHAnsi"/>
          <w:i/>
        </w:rPr>
        <w:t xml:space="preserve"> a </w:t>
      </w:r>
      <w:proofErr w:type="spellStart"/>
      <w:r w:rsidRPr="0057256C">
        <w:rPr>
          <w:rFonts w:cstheme="minorHAnsi"/>
          <w:i/>
        </w:rPr>
        <w:t>favoriza</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mod </w:t>
      </w:r>
      <w:proofErr w:type="spellStart"/>
      <w:r w:rsidRPr="0057256C">
        <w:rPr>
          <w:rFonts w:cstheme="minorHAnsi"/>
          <w:i/>
        </w:rPr>
        <w:t>selectiv</w:t>
      </w:r>
      <w:proofErr w:type="spellEnd"/>
      <w:r w:rsidRPr="0057256C">
        <w:rPr>
          <w:rFonts w:cstheme="minorHAnsi"/>
          <w:i/>
        </w:rPr>
        <w:t xml:space="preserve">, o </w:t>
      </w:r>
      <w:proofErr w:type="spellStart"/>
      <w:r w:rsidRPr="0057256C">
        <w:rPr>
          <w:rFonts w:cstheme="minorHAnsi"/>
          <w:i/>
        </w:rPr>
        <w:t>anumită</w:t>
      </w:r>
      <w:proofErr w:type="spellEnd"/>
      <w:r w:rsidRPr="0057256C">
        <w:rPr>
          <w:rFonts w:cstheme="minorHAnsi"/>
          <w:i/>
        </w:rPr>
        <w:t xml:space="preserve"> </w:t>
      </w:r>
      <w:proofErr w:type="spellStart"/>
      <w:r w:rsidRPr="0057256C">
        <w:rPr>
          <w:rFonts w:cstheme="minorHAnsi"/>
          <w:i/>
        </w:rPr>
        <w:t>întreprindere</w:t>
      </w:r>
      <w:proofErr w:type="spellEnd"/>
      <w:r w:rsidRPr="0057256C">
        <w:rPr>
          <w:rFonts w:cstheme="minorHAnsi"/>
          <w:i/>
        </w:rPr>
        <w:t xml:space="preserve"> </w:t>
      </w:r>
      <w:proofErr w:type="spellStart"/>
      <w:r w:rsidRPr="0057256C">
        <w:rPr>
          <w:rFonts w:cstheme="minorHAnsi"/>
          <w:i/>
        </w:rPr>
        <w:t>sau</w:t>
      </w:r>
      <w:proofErr w:type="spellEnd"/>
      <w:r w:rsidRPr="0057256C">
        <w:rPr>
          <w:rFonts w:cstheme="minorHAnsi"/>
          <w:i/>
        </w:rPr>
        <w:t xml:space="preserve"> sector, ci </w:t>
      </w:r>
      <w:proofErr w:type="spellStart"/>
      <w:r w:rsidRPr="0057256C">
        <w:rPr>
          <w:rFonts w:cstheme="minorHAnsi"/>
          <w:i/>
        </w:rPr>
        <w:t>oferă</w:t>
      </w:r>
      <w:proofErr w:type="spellEnd"/>
      <w:r w:rsidRPr="0057256C">
        <w:rPr>
          <w:rFonts w:cstheme="minorHAnsi"/>
          <w:i/>
        </w:rPr>
        <w:t xml:space="preserve"> </w:t>
      </w:r>
      <w:proofErr w:type="spellStart"/>
      <w:r w:rsidRPr="0057256C">
        <w:rPr>
          <w:rFonts w:cstheme="minorHAnsi"/>
          <w:i/>
        </w:rPr>
        <w:t>beneficii</w:t>
      </w:r>
      <w:proofErr w:type="spellEnd"/>
      <w:r w:rsidRPr="0057256C">
        <w:rPr>
          <w:rFonts w:cstheme="minorHAnsi"/>
          <w:i/>
        </w:rPr>
        <w:t xml:space="preserve"> </w:t>
      </w:r>
      <w:proofErr w:type="spellStart"/>
      <w:r w:rsidRPr="0057256C">
        <w:rPr>
          <w:rFonts w:cstheme="minorHAnsi"/>
          <w:i/>
        </w:rPr>
        <w:t>pentru</w:t>
      </w:r>
      <w:proofErr w:type="spellEnd"/>
      <w:r w:rsidRPr="0057256C">
        <w:rPr>
          <w:rFonts w:cstheme="minorHAnsi"/>
          <w:i/>
        </w:rPr>
        <w:t xml:space="preserve"> </w:t>
      </w:r>
      <w:proofErr w:type="spellStart"/>
      <w:r w:rsidRPr="0057256C">
        <w:rPr>
          <w:rFonts w:cstheme="minorHAnsi"/>
          <w:i/>
        </w:rPr>
        <w:t>societate</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general, </w:t>
      </w:r>
      <w:proofErr w:type="spellStart"/>
      <w:r w:rsidRPr="0057256C">
        <w:rPr>
          <w:rFonts w:cstheme="minorHAnsi"/>
          <w:i/>
        </w:rPr>
        <w:t>ceea</w:t>
      </w:r>
      <w:proofErr w:type="spellEnd"/>
      <w:r w:rsidRPr="0057256C">
        <w:rPr>
          <w:rFonts w:cstheme="minorHAnsi"/>
          <w:i/>
        </w:rPr>
        <w:t xml:space="preserve"> </w:t>
      </w:r>
      <w:proofErr w:type="spellStart"/>
      <w:r w:rsidRPr="0057256C">
        <w:rPr>
          <w:rFonts w:cstheme="minorHAnsi"/>
          <w:i/>
        </w:rPr>
        <w:t>ce</w:t>
      </w:r>
      <w:proofErr w:type="spellEnd"/>
      <w:r w:rsidRPr="0057256C">
        <w:rPr>
          <w:rFonts w:cstheme="minorHAnsi"/>
          <w:i/>
        </w:rPr>
        <w:t xml:space="preserve"> se </w:t>
      </w:r>
      <w:proofErr w:type="spellStart"/>
      <w:r w:rsidRPr="0057256C">
        <w:rPr>
          <w:rFonts w:cstheme="minorHAnsi"/>
          <w:i/>
        </w:rPr>
        <w:t>întâmplă</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mod normal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cazul</w:t>
      </w:r>
      <w:proofErr w:type="spellEnd"/>
      <w:r w:rsidRPr="0057256C">
        <w:rPr>
          <w:rFonts w:cstheme="minorHAnsi"/>
          <w:i/>
        </w:rPr>
        <w:t xml:space="preserve"> </w:t>
      </w:r>
      <w:proofErr w:type="spellStart"/>
      <w:r w:rsidRPr="0057256C">
        <w:rPr>
          <w:rFonts w:cstheme="minorHAnsi"/>
          <w:i/>
        </w:rPr>
        <w:t>rețelelor</w:t>
      </w:r>
      <w:proofErr w:type="spellEnd"/>
      <w:r w:rsidRPr="0057256C">
        <w:rPr>
          <w:rFonts w:cstheme="minorHAnsi"/>
          <w:i/>
        </w:rPr>
        <w:t xml:space="preserve"> de transport </w:t>
      </w:r>
      <w:proofErr w:type="spellStart"/>
      <w:r w:rsidRPr="0057256C">
        <w:rPr>
          <w:rFonts w:cstheme="minorHAnsi"/>
          <w:i/>
        </w:rPr>
        <w:t>și</w:t>
      </w:r>
      <w:proofErr w:type="spellEnd"/>
      <w:r w:rsidRPr="0057256C">
        <w:rPr>
          <w:rFonts w:cstheme="minorHAnsi"/>
          <w:i/>
        </w:rPr>
        <w:t xml:space="preserve"> </w:t>
      </w:r>
      <w:proofErr w:type="spellStart"/>
      <w:r w:rsidRPr="0057256C">
        <w:rPr>
          <w:rFonts w:cstheme="minorHAnsi"/>
          <w:i/>
        </w:rPr>
        <w:t>distribuție</w:t>
      </w:r>
      <w:proofErr w:type="spellEnd"/>
      <w:r w:rsidRPr="0057256C">
        <w:rPr>
          <w:rFonts w:cstheme="minorHAnsi"/>
          <w:i/>
        </w:rPr>
        <w:t xml:space="preserve">, </w:t>
      </w:r>
      <w:proofErr w:type="spellStart"/>
      <w:r w:rsidRPr="0057256C">
        <w:rPr>
          <w:rFonts w:cstheme="minorHAnsi"/>
          <w:i/>
        </w:rPr>
        <w:t>având</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vedere</w:t>
      </w:r>
      <w:proofErr w:type="spellEnd"/>
      <w:r w:rsidRPr="0057256C">
        <w:rPr>
          <w:rFonts w:cstheme="minorHAnsi"/>
          <w:i/>
        </w:rPr>
        <w:t xml:space="preserve"> </w:t>
      </w:r>
      <w:proofErr w:type="spellStart"/>
      <w:r w:rsidRPr="0057256C">
        <w:rPr>
          <w:rFonts w:cstheme="minorHAnsi"/>
          <w:i/>
        </w:rPr>
        <w:t>legislația</w:t>
      </w:r>
      <w:proofErr w:type="spellEnd"/>
      <w:r w:rsidRPr="0057256C">
        <w:rPr>
          <w:rFonts w:cstheme="minorHAnsi"/>
          <w:i/>
        </w:rPr>
        <w:t xml:space="preserve"> </w:t>
      </w:r>
      <w:proofErr w:type="spellStart"/>
      <w:r w:rsidRPr="0057256C">
        <w:rPr>
          <w:rFonts w:cstheme="minorHAnsi"/>
          <w:i/>
        </w:rPr>
        <w:t>europeană</w:t>
      </w:r>
      <w:proofErr w:type="spellEnd"/>
      <w:r w:rsidRPr="0057256C">
        <w:rPr>
          <w:rFonts w:cstheme="minorHAnsi"/>
          <w:i/>
        </w:rPr>
        <w:t xml:space="preserve"> </w:t>
      </w:r>
      <w:proofErr w:type="spellStart"/>
      <w:r w:rsidRPr="0057256C">
        <w:rPr>
          <w:rFonts w:cstheme="minorHAnsi"/>
          <w:i/>
        </w:rPr>
        <w:t>privind</w:t>
      </w:r>
      <w:proofErr w:type="spellEnd"/>
      <w:r w:rsidRPr="0057256C">
        <w:rPr>
          <w:rFonts w:cstheme="minorHAnsi"/>
          <w:i/>
        </w:rPr>
        <w:t xml:space="preserve"> </w:t>
      </w:r>
      <w:proofErr w:type="spellStart"/>
      <w:r w:rsidRPr="0057256C">
        <w:rPr>
          <w:rFonts w:cstheme="minorHAnsi"/>
          <w:i/>
        </w:rPr>
        <w:t>piața</w:t>
      </w:r>
      <w:proofErr w:type="spellEnd"/>
      <w:r w:rsidRPr="0057256C">
        <w:rPr>
          <w:rFonts w:cstheme="minorHAnsi"/>
          <w:i/>
        </w:rPr>
        <w:t xml:space="preserve"> </w:t>
      </w:r>
      <w:proofErr w:type="spellStart"/>
      <w:r w:rsidRPr="0057256C">
        <w:rPr>
          <w:rFonts w:cstheme="minorHAnsi"/>
          <w:i/>
        </w:rPr>
        <w:t>energiei</w:t>
      </w:r>
      <w:proofErr w:type="spellEnd"/>
      <w:r w:rsidRPr="0057256C">
        <w:rPr>
          <w:rFonts w:cstheme="minorHAnsi"/>
          <w:i/>
        </w:rPr>
        <w:t>.</w:t>
      </w:r>
    </w:p>
    <w:p w:rsidR="004B69E6" w:rsidRDefault="004B69E6" w:rsidP="004B69E6">
      <w:pPr>
        <w:pStyle w:val="ListParagraph"/>
        <w:ind w:left="540" w:right="244"/>
        <w:jc w:val="both"/>
        <w:rPr>
          <w:rFonts w:cstheme="minorHAnsi"/>
          <w:i/>
        </w:rPr>
      </w:pPr>
    </w:p>
    <w:p w:rsidR="004B69E6" w:rsidRDefault="004B69E6" w:rsidP="004B69E6">
      <w:pPr>
        <w:pStyle w:val="ListParagraph"/>
        <w:ind w:left="540" w:right="244"/>
        <w:jc w:val="both"/>
        <w:rPr>
          <w:rFonts w:cstheme="minorHAnsi"/>
        </w:rPr>
      </w:pPr>
      <w:r>
        <w:rPr>
          <w:rFonts w:cstheme="minorHAnsi"/>
          <w:i/>
        </w:rPr>
        <w:t xml:space="preserve">De </w:t>
      </w:r>
      <w:proofErr w:type="spellStart"/>
      <w:r>
        <w:rPr>
          <w:rFonts w:cstheme="minorHAnsi"/>
          <w:i/>
        </w:rPr>
        <w:t>asemenea</w:t>
      </w:r>
      <w:proofErr w:type="spellEnd"/>
      <w:r>
        <w:rPr>
          <w:rFonts w:cstheme="minorHAnsi"/>
          <w:i/>
        </w:rPr>
        <w:t xml:space="preserve">, </w:t>
      </w:r>
      <w:proofErr w:type="spellStart"/>
      <w:r w:rsidRPr="0057256C">
        <w:rPr>
          <w:rFonts w:cstheme="minorHAnsi"/>
          <w:i/>
        </w:rPr>
        <w:t>pentru</w:t>
      </w:r>
      <w:proofErr w:type="spellEnd"/>
      <w:r w:rsidRPr="0057256C">
        <w:rPr>
          <w:rFonts w:cstheme="minorHAnsi"/>
          <w:i/>
        </w:rPr>
        <w:t xml:space="preserve"> </w:t>
      </w:r>
      <w:proofErr w:type="gramStart"/>
      <w:r w:rsidRPr="0057256C">
        <w:rPr>
          <w:rFonts w:cstheme="minorHAnsi"/>
          <w:i/>
        </w:rPr>
        <w:t>a</w:t>
      </w:r>
      <w:proofErr w:type="gramEnd"/>
      <w:r w:rsidRPr="0057256C">
        <w:rPr>
          <w:rFonts w:cstheme="minorHAnsi"/>
          <w:i/>
        </w:rPr>
        <w:t xml:space="preserve"> exclude </w:t>
      </w:r>
      <w:proofErr w:type="spellStart"/>
      <w:r w:rsidRPr="0057256C">
        <w:rPr>
          <w:rFonts w:cstheme="minorHAnsi"/>
          <w:i/>
        </w:rPr>
        <w:t>subvenționarea</w:t>
      </w:r>
      <w:proofErr w:type="spellEnd"/>
      <w:r w:rsidRPr="0057256C">
        <w:rPr>
          <w:rFonts w:cstheme="minorHAnsi"/>
          <w:i/>
        </w:rPr>
        <w:t xml:space="preserve"> </w:t>
      </w:r>
      <w:proofErr w:type="spellStart"/>
      <w:r w:rsidRPr="0057256C">
        <w:rPr>
          <w:rFonts w:cstheme="minorHAnsi"/>
          <w:i/>
        </w:rPr>
        <w:t>încrucișată</w:t>
      </w:r>
      <w:proofErr w:type="spellEnd"/>
      <w:r>
        <w:rPr>
          <w:rFonts w:cstheme="minorHAnsi"/>
          <w:i/>
        </w:rPr>
        <w:t xml:space="preserve">, se </w:t>
      </w:r>
      <w:proofErr w:type="spellStart"/>
      <w:r>
        <w:rPr>
          <w:rFonts w:cstheme="minorHAnsi"/>
          <w:i/>
        </w:rPr>
        <w:t>asigură</w:t>
      </w:r>
      <w:proofErr w:type="spellEnd"/>
      <w:r>
        <w:rPr>
          <w:rFonts w:cstheme="minorHAnsi"/>
          <w:i/>
        </w:rPr>
        <w:t xml:space="preserve"> </w:t>
      </w:r>
      <w:proofErr w:type="spellStart"/>
      <w:r w:rsidRPr="0057256C">
        <w:rPr>
          <w:rFonts w:cstheme="minorHAnsi"/>
          <w:i/>
        </w:rPr>
        <w:t>separarea</w:t>
      </w:r>
      <w:proofErr w:type="spellEnd"/>
      <w:r w:rsidRPr="0057256C">
        <w:rPr>
          <w:rFonts w:cstheme="minorHAnsi"/>
          <w:i/>
        </w:rPr>
        <w:t xml:space="preserve"> </w:t>
      </w:r>
      <w:proofErr w:type="spellStart"/>
      <w:r w:rsidRPr="0057256C">
        <w:rPr>
          <w:rFonts w:cstheme="minorHAnsi"/>
          <w:i/>
        </w:rPr>
        <w:t>evidențelor</w:t>
      </w:r>
      <w:proofErr w:type="spellEnd"/>
      <w:r w:rsidRPr="0057256C">
        <w:rPr>
          <w:rFonts w:cstheme="minorHAnsi"/>
          <w:i/>
        </w:rPr>
        <w:t xml:space="preserve"> </w:t>
      </w:r>
      <w:proofErr w:type="spellStart"/>
      <w:r w:rsidRPr="0057256C">
        <w:rPr>
          <w:rFonts w:cstheme="minorHAnsi"/>
          <w:i/>
        </w:rPr>
        <w:t>contabile</w:t>
      </w:r>
      <w:proofErr w:type="spellEnd"/>
      <w:r w:rsidRPr="0057256C">
        <w:rPr>
          <w:rFonts w:cstheme="minorHAnsi"/>
          <w:i/>
        </w:rPr>
        <w:t xml:space="preserve">, care </w:t>
      </w:r>
      <w:proofErr w:type="spellStart"/>
      <w:r w:rsidRPr="0057256C">
        <w:rPr>
          <w:rFonts w:cstheme="minorHAnsi"/>
          <w:i/>
        </w:rPr>
        <w:t>este</w:t>
      </w:r>
      <w:proofErr w:type="spellEnd"/>
      <w:r w:rsidRPr="0057256C">
        <w:rPr>
          <w:rFonts w:cstheme="minorHAnsi"/>
          <w:i/>
        </w:rPr>
        <w:t xml:space="preserve"> </w:t>
      </w:r>
      <w:proofErr w:type="spellStart"/>
      <w:r w:rsidRPr="0057256C">
        <w:rPr>
          <w:rFonts w:cstheme="minorHAnsi"/>
          <w:i/>
        </w:rPr>
        <w:t>prevăzută</w:t>
      </w:r>
      <w:proofErr w:type="spellEnd"/>
      <w:r w:rsidRPr="0057256C">
        <w:rPr>
          <w:rFonts w:cstheme="minorHAnsi"/>
          <w:i/>
        </w:rPr>
        <w:t xml:space="preserve"> </w:t>
      </w:r>
      <w:proofErr w:type="spellStart"/>
      <w:r w:rsidRPr="0057256C">
        <w:rPr>
          <w:rFonts w:cstheme="minorHAnsi"/>
          <w:i/>
        </w:rPr>
        <w:t>și</w:t>
      </w:r>
      <w:proofErr w:type="spellEnd"/>
      <w:r w:rsidRPr="0057256C">
        <w:rPr>
          <w:rFonts w:cstheme="minorHAnsi"/>
          <w:i/>
        </w:rPr>
        <w:t xml:space="preserve"> </w:t>
      </w:r>
      <w:proofErr w:type="spellStart"/>
      <w:r w:rsidRPr="0057256C">
        <w:rPr>
          <w:rFonts w:cstheme="minorHAnsi"/>
          <w:i/>
        </w:rPr>
        <w:t>în</w:t>
      </w:r>
      <w:proofErr w:type="spellEnd"/>
      <w:r w:rsidRPr="0057256C">
        <w:rPr>
          <w:rFonts w:cstheme="minorHAnsi"/>
          <w:i/>
        </w:rPr>
        <w:t xml:space="preserve"> </w:t>
      </w:r>
      <w:proofErr w:type="spellStart"/>
      <w:r w:rsidRPr="0057256C">
        <w:rPr>
          <w:rFonts w:cstheme="minorHAnsi"/>
          <w:i/>
        </w:rPr>
        <w:t>directivele</w:t>
      </w:r>
      <w:proofErr w:type="spellEnd"/>
      <w:r w:rsidRPr="0057256C">
        <w:rPr>
          <w:rFonts w:cstheme="minorHAnsi"/>
          <w:i/>
        </w:rPr>
        <w:t xml:space="preserve"> </w:t>
      </w:r>
      <w:proofErr w:type="spellStart"/>
      <w:r w:rsidRPr="0057256C">
        <w:rPr>
          <w:rFonts w:cstheme="minorHAnsi"/>
          <w:i/>
        </w:rPr>
        <w:t>europene</w:t>
      </w:r>
      <w:proofErr w:type="spellEnd"/>
      <w:r w:rsidRPr="0057256C">
        <w:rPr>
          <w:rFonts w:cstheme="minorHAnsi"/>
          <w:i/>
        </w:rPr>
        <w:t xml:space="preserve"> </w:t>
      </w:r>
      <w:proofErr w:type="spellStart"/>
      <w:r w:rsidRPr="0057256C">
        <w:rPr>
          <w:rFonts w:cstheme="minorHAnsi"/>
          <w:i/>
        </w:rPr>
        <w:t>privind</w:t>
      </w:r>
      <w:proofErr w:type="spellEnd"/>
      <w:r w:rsidRPr="0057256C">
        <w:rPr>
          <w:rFonts w:cstheme="minorHAnsi"/>
          <w:i/>
        </w:rPr>
        <w:t xml:space="preserve"> </w:t>
      </w:r>
      <w:proofErr w:type="spellStart"/>
      <w:r w:rsidRPr="0057256C">
        <w:rPr>
          <w:rFonts w:cstheme="minorHAnsi"/>
          <w:i/>
        </w:rPr>
        <w:t>energia</w:t>
      </w:r>
      <w:proofErr w:type="spellEnd"/>
      <w:r w:rsidRPr="0057256C">
        <w:rPr>
          <w:rFonts w:cstheme="minorHAnsi"/>
          <w:i/>
        </w:rPr>
        <w:t xml:space="preserve"> </w:t>
      </w:r>
      <w:proofErr w:type="spellStart"/>
      <w:r w:rsidRPr="0057256C">
        <w:rPr>
          <w:rFonts w:cstheme="minorHAnsi"/>
          <w:i/>
        </w:rPr>
        <w:t>electrică</w:t>
      </w:r>
      <w:proofErr w:type="spellEnd"/>
      <w:r w:rsidRPr="0057256C">
        <w:rPr>
          <w:rFonts w:cstheme="minorHAnsi"/>
          <w:i/>
        </w:rPr>
        <w:t xml:space="preserve"> </w:t>
      </w:r>
      <w:proofErr w:type="spellStart"/>
      <w:r w:rsidRPr="0057256C">
        <w:rPr>
          <w:rFonts w:cstheme="minorHAnsi"/>
          <w:i/>
        </w:rPr>
        <w:t>și</w:t>
      </w:r>
      <w:proofErr w:type="spellEnd"/>
      <w:r w:rsidRPr="0057256C">
        <w:rPr>
          <w:rFonts w:cstheme="minorHAnsi"/>
          <w:i/>
        </w:rPr>
        <w:t xml:space="preserve"> </w:t>
      </w:r>
      <w:proofErr w:type="spellStart"/>
      <w:r w:rsidRPr="0057256C">
        <w:rPr>
          <w:rFonts w:cstheme="minorHAnsi"/>
          <w:i/>
        </w:rPr>
        <w:t>gazele</w:t>
      </w:r>
      <w:proofErr w:type="spellEnd"/>
      <w:r w:rsidRPr="0057256C">
        <w:rPr>
          <w:rFonts w:cstheme="minorHAnsi"/>
          <w:i/>
        </w:rPr>
        <w:t xml:space="preserve"> </w:t>
      </w:r>
      <w:proofErr w:type="spellStart"/>
      <w:r w:rsidRPr="0057256C">
        <w:rPr>
          <w:rFonts w:cstheme="minorHAnsi"/>
          <w:i/>
        </w:rPr>
        <w:t>naturale</w:t>
      </w:r>
      <w:proofErr w:type="spellEnd"/>
      <w:r>
        <w:rPr>
          <w:rFonts w:cstheme="minorHAnsi"/>
        </w:rPr>
        <w:t>.</w:t>
      </w:r>
    </w:p>
    <w:p w:rsidR="004B69E6" w:rsidRDefault="004B69E6" w:rsidP="004B69E6">
      <w:pPr>
        <w:pStyle w:val="ListParagraph"/>
        <w:ind w:left="540" w:right="244"/>
        <w:jc w:val="both"/>
        <w:rPr>
          <w:rFonts w:cstheme="minorHAnsi"/>
          <w:i/>
        </w:rPr>
      </w:pPr>
    </w:p>
    <w:p w:rsidR="004B69E6" w:rsidRDefault="004B69E6" w:rsidP="004B69E6">
      <w:pPr>
        <w:pStyle w:val="ListParagraph"/>
        <w:ind w:left="540" w:right="244"/>
        <w:jc w:val="both"/>
        <w:rPr>
          <w:rFonts w:cstheme="minorHAnsi"/>
          <w:i/>
        </w:rPr>
      </w:pPr>
    </w:p>
    <w:p w:rsidR="004B69E6" w:rsidRPr="0057256C" w:rsidRDefault="004B69E6" w:rsidP="004B69E6">
      <w:pPr>
        <w:pStyle w:val="ListParagraph"/>
        <w:ind w:left="540" w:right="244"/>
        <w:jc w:val="both"/>
        <w:rPr>
          <w:rFonts w:cstheme="minorHAnsi"/>
          <w:i/>
        </w:rPr>
      </w:pPr>
    </w:p>
    <w:p w:rsidR="004B69E6" w:rsidRPr="007E3EAE" w:rsidRDefault="004B69E6" w:rsidP="004B69E6">
      <w:pPr>
        <w:pStyle w:val="ListParagraph"/>
        <w:ind w:left="540" w:hanging="270"/>
        <w:rPr>
          <w:rFonts w:cstheme="minorHAnsi"/>
          <w:i/>
          <w:sz w:val="12"/>
          <w:szCs w:val="12"/>
        </w:rPr>
      </w:pPr>
    </w:p>
    <w:p w:rsidR="004B69E6" w:rsidRDefault="004B69E6" w:rsidP="004B69E6">
      <w:pPr>
        <w:pStyle w:val="ListParagraph"/>
        <w:ind w:left="2430" w:right="244"/>
        <w:jc w:val="both"/>
        <w:rPr>
          <w:rFonts w:cstheme="minorHAnsi"/>
        </w:rPr>
      </w:pPr>
    </w:p>
    <w:p w:rsidR="004B69E6" w:rsidRPr="002810DA" w:rsidRDefault="004B69E6" w:rsidP="004B69E6">
      <w:pPr>
        <w:pStyle w:val="ListParagraph"/>
        <w:ind w:left="2430" w:right="244"/>
        <w:jc w:val="both"/>
        <w:rPr>
          <w:rFonts w:cstheme="minorHAnsi"/>
        </w:rPr>
      </w:pPr>
    </w:p>
    <w:p w:rsidR="004B69E6" w:rsidRDefault="004B69E6" w:rsidP="004B69E6">
      <w:pPr>
        <w:widowControl w:val="0"/>
        <w:jc w:val="both"/>
      </w:pPr>
    </w:p>
    <w:p w:rsidR="004B69E6" w:rsidRDefault="004B69E6" w:rsidP="004B69E6">
      <w:pPr>
        <w:widowControl w:val="0"/>
        <w:jc w:val="both"/>
      </w:pPr>
    </w:p>
    <w:p w:rsidR="004B69E6" w:rsidRDefault="004B69E6" w:rsidP="004B69E6">
      <w:pPr>
        <w:widowControl w:val="0"/>
        <w:jc w:val="both"/>
      </w:pPr>
    </w:p>
    <w:p w:rsidR="004B69E6" w:rsidRDefault="004B69E6" w:rsidP="00D329E9">
      <w:pPr>
        <w:shd w:val="clear" w:color="auto" w:fill="FFFFFF"/>
        <w:spacing w:before="100" w:beforeAutospacing="1" w:after="100" w:afterAutospacing="1" w:line="240" w:lineRule="auto"/>
        <w:jc w:val="both"/>
        <w:rPr>
          <w:noProof/>
          <w:lang w:val="ro-RO"/>
        </w:rPr>
      </w:pPr>
    </w:p>
    <w:sectPr w:rsidR="004B69E6" w:rsidSect="00205561">
      <w:headerReference w:type="default" r:id="rId8"/>
      <w:footerReference w:type="default" r:id="rId9"/>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18F" w:rsidRDefault="00B6618F" w:rsidP="00B1772C">
      <w:pPr>
        <w:spacing w:after="0" w:line="240" w:lineRule="auto"/>
      </w:pPr>
      <w:r>
        <w:separator/>
      </w:r>
    </w:p>
  </w:endnote>
  <w:endnote w:type="continuationSeparator" w:id="0">
    <w:p w:rsidR="00B6618F" w:rsidRDefault="00B6618F"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9712"/>
      <w:docPartObj>
        <w:docPartGallery w:val="Page Numbers (Bottom of Page)"/>
        <w:docPartUnique/>
      </w:docPartObj>
    </w:sdtPr>
    <w:sdtEndPr>
      <w:rPr>
        <w:noProof/>
      </w:rPr>
    </w:sdtEndPr>
    <w:sdtContent>
      <w:p w:rsidR="00635455" w:rsidRDefault="00635455">
        <w:pPr>
          <w:pStyle w:val="Footer"/>
          <w:jc w:val="right"/>
        </w:pPr>
        <w:r>
          <w:fldChar w:fldCharType="begin"/>
        </w:r>
        <w:r>
          <w:instrText xml:space="preserve"> PAGE   \* MERGEFORMAT </w:instrText>
        </w:r>
        <w:r>
          <w:fldChar w:fldCharType="separate"/>
        </w:r>
        <w:r w:rsidR="00624ED0">
          <w:rPr>
            <w:noProof/>
          </w:rPr>
          <w:t>2</w:t>
        </w:r>
        <w:r>
          <w:rPr>
            <w:noProof/>
          </w:rPr>
          <w:fldChar w:fldCharType="end"/>
        </w:r>
      </w:p>
    </w:sdtContent>
  </w:sdt>
  <w:p w:rsidR="00635455" w:rsidRDefault="006354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18F" w:rsidRDefault="00B6618F" w:rsidP="00B1772C">
      <w:pPr>
        <w:spacing w:after="0" w:line="240" w:lineRule="auto"/>
      </w:pPr>
      <w:r>
        <w:separator/>
      </w:r>
    </w:p>
  </w:footnote>
  <w:footnote w:type="continuationSeparator" w:id="0">
    <w:p w:rsidR="00B6618F" w:rsidRDefault="00B6618F" w:rsidP="00B1772C">
      <w:pPr>
        <w:spacing w:after="0" w:line="240" w:lineRule="auto"/>
      </w:pPr>
      <w:r>
        <w:continuationSeparator/>
      </w:r>
    </w:p>
  </w:footnote>
  <w:footnote w:id="1">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754D6F" w:rsidRPr="00754D6F" w:rsidRDefault="00754D6F">
      <w:pPr>
        <w:pStyle w:val="FootnoteText"/>
        <w:rPr>
          <w:lang w:val="ro-RO"/>
        </w:rPr>
      </w:pPr>
      <w:r w:rsidRPr="00EA0561">
        <w:rPr>
          <w:rStyle w:val="FootnoteReference"/>
        </w:rPr>
        <w:footnoteRef/>
      </w:r>
      <w:r w:rsidRPr="00EA0561">
        <w:t xml:space="preserve"> </w:t>
      </w:r>
      <w:r w:rsidRPr="00EA0561">
        <w:rPr>
          <w:i/>
        </w:rPr>
        <w:t>http://ec.europa.eu/competition/state_aid/modernisation/grid_energy_en.pdf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31" w:rsidRPr="004D5A90" w:rsidRDefault="00205561" w:rsidP="00205561">
    <w:pPr>
      <w:pStyle w:val="Header"/>
      <w:spacing w:after="240"/>
      <w:rPr>
        <w:sz w:val="16"/>
        <w:szCs w:val="16"/>
        <w:lang w:val="fr-FR"/>
      </w:rPr>
    </w:pPr>
    <w:r w:rsidRPr="004D5A90">
      <w:rPr>
        <w:sz w:val="16"/>
        <w:szCs w:val="16"/>
        <w:lang w:val="fr-FR"/>
      </w:rPr>
      <w:t xml:space="preserve">POIM 2014-2020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Solicitantului_OS</w:t>
    </w:r>
    <w:proofErr w:type="spellEnd"/>
    <w:r w:rsidRPr="004D5A90">
      <w:rPr>
        <w:sz w:val="16"/>
        <w:szCs w:val="16"/>
        <w:lang w:val="fr-FR"/>
      </w:rPr>
      <w:t xml:space="preserve"> 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15016"/>
    <w:multiLevelType w:val="hybridMultilevel"/>
    <w:tmpl w:val="A8EABC94"/>
    <w:lvl w:ilvl="0" w:tplc="3B325EE4">
      <w:start w:val="1"/>
      <w:numFmt w:val="upperRoman"/>
      <w:lvlText w:val="%1."/>
      <w:lvlJc w:val="left"/>
      <w:pPr>
        <w:ind w:left="1080" w:hanging="72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F843111"/>
    <w:multiLevelType w:val="hybridMultilevel"/>
    <w:tmpl w:val="F814B652"/>
    <w:lvl w:ilvl="0" w:tplc="A88A4C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60AE396C"/>
    <w:multiLevelType w:val="hybridMultilevel"/>
    <w:tmpl w:val="6B66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4256F"/>
    <w:rsid w:val="000550B4"/>
    <w:rsid w:val="000B43F6"/>
    <w:rsid w:val="000C2C4B"/>
    <w:rsid w:val="000D30E7"/>
    <w:rsid w:val="000F6D69"/>
    <w:rsid w:val="0010170A"/>
    <w:rsid w:val="001276E2"/>
    <w:rsid w:val="00131189"/>
    <w:rsid w:val="00132DD7"/>
    <w:rsid w:val="001353D1"/>
    <w:rsid w:val="00136FEB"/>
    <w:rsid w:val="00137F01"/>
    <w:rsid w:val="00157B0B"/>
    <w:rsid w:val="0016229D"/>
    <w:rsid w:val="00172F38"/>
    <w:rsid w:val="001B0957"/>
    <w:rsid w:val="001C1064"/>
    <w:rsid w:val="001D18BB"/>
    <w:rsid w:val="00205561"/>
    <w:rsid w:val="002070C3"/>
    <w:rsid w:val="00215756"/>
    <w:rsid w:val="00233686"/>
    <w:rsid w:val="00243867"/>
    <w:rsid w:val="00270CA3"/>
    <w:rsid w:val="00280831"/>
    <w:rsid w:val="002B7156"/>
    <w:rsid w:val="00305914"/>
    <w:rsid w:val="00306447"/>
    <w:rsid w:val="00335A65"/>
    <w:rsid w:val="003633A6"/>
    <w:rsid w:val="00365DF4"/>
    <w:rsid w:val="00373896"/>
    <w:rsid w:val="00385C74"/>
    <w:rsid w:val="00390560"/>
    <w:rsid w:val="003B1722"/>
    <w:rsid w:val="003B5493"/>
    <w:rsid w:val="003D20DF"/>
    <w:rsid w:val="003F037D"/>
    <w:rsid w:val="0040695A"/>
    <w:rsid w:val="0040742C"/>
    <w:rsid w:val="00421E8E"/>
    <w:rsid w:val="00423F5E"/>
    <w:rsid w:val="00445199"/>
    <w:rsid w:val="00464009"/>
    <w:rsid w:val="00470838"/>
    <w:rsid w:val="00486352"/>
    <w:rsid w:val="004B69E6"/>
    <w:rsid w:val="004C2091"/>
    <w:rsid w:val="004D3930"/>
    <w:rsid w:val="004D5A90"/>
    <w:rsid w:val="004D7CCE"/>
    <w:rsid w:val="005476DA"/>
    <w:rsid w:val="005A0950"/>
    <w:rsid w:val="005B1CB7"/>
    <w:rsid w:val="005B5C7B"/>
    <w:rsid w:val="005F3C9B"/>
    <w:rsid w:val="005F5D53"/>
    <w:rsid w:val="00606AD9"/>
    <w:rsid w:val="0061296D"/>
    <w:rsid w:val="0062206D"/>
    <w:rsid w:val="006222DB"/>
    <w:rsid w:val="00624ED0"/>
    <w:rsid w:val="00625C36"/>
    <w:rsid w:val="00635455"/>
    <w:rsid w:val="006407F0"/>
    <w:rsid w:val="00650E27"/>
    <w:rsid w:val="00687F6F"/>
    <w:rsid w:val="006A17F2"/>
    <w:rsid w:val="006B4E75"/>
    <w:rsid w:val="006B67DF"/>
    <w:rsid w:val="006C4180"/>
    <w:rsid w:val="006D6E8A"/>
    <w:rsid w:val="006E3B15"/>
    <w:rsid w:val="006F429A"/>
    <w:rsid w:val="006F596D"/>
    <w:rsid w:val="00717879"/>
    <w:rsid w:val="00733A9C"/>
    <w:rsid w:val="00754D6F"/>
    <w:rsid w:val="00790C20"/>
    <w:rsid w:val="00796E6A"/>
    <w:rsid w:val="007A4998"/>
    <w:rsid w:val="007B17E3"/>
    <w:rsid w:val="007D1316"/>
    <w:rsid w:val="007E13F7"/>
    <w:rsid w:val="007F2198"/>
    <w:rsid w:val="008209F4"/>
    <w:rsid w:val="00824C5B"/>
    <w:rsid w:val="0082538B"/>
    <w:rsid w:val="00830E60"/>
    <w:rsid w:val="0083509A"/>
    <w:rsid w:val="00891660"/>
    <w:rsid w:val="008938D8"/>
    <w:rsid w:val="00895655"/>
    <w:rsid w:val="008A6F70"/>
    <w:rsid w:val="008B6833"/>
    <w:rsid w:val="008D43BC"/>
    <w:rsid w:val="008D657E"/>
    <w:rsid w:val="008E072C"/>
    <w:rsid w:val="008F7BA4"/>
    <w:rsid w:val="00913A01"/>
    <w:rsid w:val="00926DA7"/>
    <w:rsid w:val="00964B14"/>
    <w:rsid w:val="00992948"/>
    <w:rsid w:val="00997686"/>
    <w:rsid w:val="009A3300"/>
    <w:rsid w:val="009D7400"/>
    <w:rsid w:val="00A22C57"/>
    <w:rsid w:val="00A31866"/>
    <w:rsid w:val="00A54628"/>
    <w:rsid w:val="00A566F9"/>
    <w:rsid w:val="00A57E97"/>
    <w:rsid w:val="00A7533E"/>
    <w:rsid w:val="00AE032F"/>
    <w:rsid w:val="00B00367"/>
    <w:rsid w:val="00B1772C"/>
    <w:rsid w:val="00B23684"/>
    <w:rsid w:val="00B34712"/>
    <w:rsid w:val="00B44EEA"/>
    <w:rsid w:val="00B52A1F"/>
    <w:rsid w:val="00B54331"/>
    <w:rsid w:val="00B57A33"/>
    <w:rsid w:val="00B612FE"/>
    <w:rsid w:val="00B63EA2"/>
    <w:rsid w:val="00B6618F"/>
    <w:rsid w:val="00B75ADC"/>
    <w:rsid w:val="00B80FF9"/>
    <w:rsid w:val="00B81C7F"/>
    <w:rsid w:val="00B900A7"/>
    <w:rsid w:val="00BA0356"/>
    <w:rsid w:val="00BA26D2"/>
    <w:rsid w:val="00BA5EA8"/>
    <w:rsid w:val="00BD6E19"/>
    <w:rsid w:val="00C113F2"/>
    <w:rsid w:val="00C217DE"/>
    <w:rsid w:val="00C30B3D"/>
    <w:rsid w:val="00C456E8"/>
    <w:rsid w:val="00C86032"/>
    <w:rsid w:val="00CB1CF6"/>
    <w:rsid w:val="00CE0DB7"/>
    <w:rsid w:val="00CE2433"/>
    <w:rsid w:val="00CE25E6"/>
    <w:rsid w:val="00CE2728"/>
    <w:rsid w:val="00CF1365"/>
    <w:rsid w:val="00CF1CA6"/>
    <w:rsid w:val="00CF7BF0"/>
    <w:rsid w:val="00D15FDB"/>
    <w:rsid w:val="00D254D7"/>
    <w:rsid w:val="00D329E9"/>
    <w:rsid w:val="00D43DAA"/>
    <w:rsid w:val="00D51D87"/>
    <w:rsid w:val="00D72871"/>
    <w:rsid w:val="00D860DD"/>
    <w:rsid w:val="00D90E91"/>
    <w:rsid w:val="00DA057D"/>
    <w:rsid w:val="00DA60F3"/>
    <w:rsid w:val="00DB6F54"/>
    <w:rsid w:val="00DE06D4"/>
    <w:rsid w:val="00DF74B5"/>
    <w:rsid w:val="00E77C31"/>
    <w:rsid w:val="00E77D5A"/>
    <w:rsid w:val="00E947EE"/>
    <w:rsid w:val="00EA0561"/>
    <w:rsid w:val="00EB5A9A"/>
    <w:rsid w:val="00EE2762"/>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BD3B5-4BFF-48C9-8B39-070B15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4">
    <w:name w:val="heading 4"/>
    <w:basedOn w:val="Normal"/>
    <w:next w:val="Normal"/>
    <w:link w:val="Heading4Char"/>
    <w:unhideWhenUsed/>
    <w:qFormat/>
    <w:rsid w:val="006B4E75"/>
    <w:pPr>
      <w:keepNext/>
      <w:keepLines/>
      <w:spacing w:before="40" w:after="120" w:line="259" w:lineRule="auto"/>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FootnoteReference">
    <w:name w:val="footnote reference"/>
    <w:basedOn w:val="DefaultParagraphFont"/>
    <w:uiPriority w:val="99"/>
    <w:semiHidden/>
    <w:unhideWhenUsed/>
    <w:rsid w:val="004B69E6"/>
    <w:rPr>
      <w:vertAlign w:val="superscript"/>
    </w:rPr>
  </w:style>
  <w:style w:type="character" w:customStyle="1" w:styleId="Heading4Char">
    <w:name w:val="Heading 4 Char"/>
    <w:basedOn w:val="DefaultParagraphFont"/>
    <w:link w:val="Heading4"/>
    <w:rsid w:val="006B4E75"/>
    <w:rPr>
      <w:rFonts w:ascii="Times New Roman" w:eastAsiaTheme="majorEastAsia" w:hAnsi="Times New Roman" w:cstheme="majorBidi"/>
      <w:b/>
      <w:bCs/>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46AA5-C9E1-44E0-8E17-268EE941F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1880</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mariana simbrian</cp:lastModifiedBy>
  <cp:revision>8</cp:revision>
  <dcterms:created xsi:type="dcterms:W3CDTF">2019-07-29T08:26:00Z</dcterms:created>
  <dcterms:modified xsi:type="dcterms:W3CDTF">2019-07-30T11:00:00Z</dcterms:modified>
</cp:coreProperties>
</file>